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 xml:space="preserve"> </w:t>
      </w:r>
      <w:r>
        <w:rPr>
          <w:rFonts w:hint="eastAsia"/>
          <w:b/>
          <w:sz w:val="36"/>
          <w:szCs w:val="36"/>
        </w:rPr>
        <w:t>北京市医疗器械检验研究院2026年度物业管理服务采购项目</w:t>
      </w:r>
      <w:r>
        <w:rPr>
          <w:b/>
          <w:sz w:val="36"/>
          <w:szCs w:val="36"/>
        </w:rPr>
        <w:t>采购需求</w:t>
      </w:r>
    </w:p>
    <w:p>
      <w:pPr>
        <w:adjustRightInd w:val="0"/>
        <w:spacing w:line="360" w:lineRule="auto"/>
        <w:textAlignment w:val="baseline"/>
        <w:rPr>
          <w:rFonts w:ascii="宋体" w:hAnsi="宋体" w:cs="宋体"/>
          <w:b/>
          <w:bCs/>
          <w:kern w:val="0"/>
          <w:szCs w:val="21"/>
        </w:rPr>
      </w:pPr>
      <w:r>
        <w:rPr>
          <w:rFonts w:hint="eastAsia" w:ascii="宋体" w:hAnsi="宋体" w:cs="宋体"/>
          <w:b/>
          <w:bCs/>
          <w:kern w:val="0"/>
          <w:szCs w:val="21"/>
        </w:rPr>
        <w:t>一、采购标的</w:t>
      </w:r>
    </w:p>
    <w:p>
      <w:pPr>
        <w:adjustRightInd w:val="0"/>
        <w:spacing w:line="360" w:lineRule="auto"/>
        <w:textAlignment w:val="baseline"/>
        <w:rPr>
          <w:rFonts w:ascii="宋体" w:hAnsi="宋体" w:cs="宋体"/>
          <w:b/>
          <w:bCs/>
          <w:kern w:val="0"/>
          <w:szCs w:val="21"/>
        </w:rPr>
      </w:pPr>
      <w:r>
        <w:rPr>
          <w:rFonts w:hint="eastAsia"/>
          <w:bCs/>
          <w:sz w:val="24"/>
        </w:rPr>
        <w:t>（一）</w:t>
      </w:r>
      <w:r>
        <w:rPr>
          <w:bCs/>
          <w:sz w:val="24"/>
        </w:rPr>
        <w:t>采购标的</w:t>
      </w:r>
    </w:p>
    <w:tbl>
      <w:tblPr>
        <w:tblStyle w:val="3"/>
        <w:tblW w:w="80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3978"/>
        <w:gridCol w:w="993"/>
        <w:gridCol w:w="708"/>
        <w:gridCol w:w="1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1" w:type="dxa"/>
            <w:noWrap w:val="0"/>
            <w:vAlign w:val="top"/>
          </w:tcPr>
          <w:p>
            <w:pPr>
              <w:adjustRightInd w:val="0"/>
              <w:spacing w:line="360" w:lineRule="auto"/>
              <w:textAlignment w:val="baseline"/>
              <w:rPr>
                <w:rFonts w:ascii="宋体" w:hAnsi="宋体" w:cs="宋体"/>
                <w:b/>
                <w:kern w:val="0"/>
                <w:szCs w:val="21"/>
              </w:rPr>
            </w:pPr>
            <w:r>
              <w:rPr>
                <w:rFonts w:hint="eastAsia" w:ascii="宋体" w:hAnsi="宋体" w:cs="宋体"/>
                <w:b/>
                <w:kern w:val="0"/>
                <w:szCs w:val="21"/>
              </w:rPr>
              <w:t>序号</w:t>
            </w:r>
          </w:p>
        </w:tc>
        <w:tc>
          <w:tcPr>
            <w:tcW w:w="3978" w:type="dxa"/>
            <w:noWrap w:val="0"/>
            <w:vAlign w:val="top"/>
          </w:tcPr>
          <w:p>
            <w:pPr>
              <w:adjustRightInd w:val="0"/>
              <w:spacing w:line="360" w:lineRule="auto"/>
              <w:textAlignment w:val="baseline"/>
              <w:rPr>
                <w:rFonts w:ascii="宋体" w:hAnsi="宋体" w:cs="宋体"/>
                <w:b/>
                <w:kern w:val="0"/>
                <w:szCs w:val="21"/>
              </w:rPr>
            </w:pPr>
            <w:r>
              <w:rPr>
                <w:rFonts w:hint="eastAsia" w:ascii="宋体" w:hAnsi="宋体" w:cs="宋体"/>
                <w:b/>
                <w:kern w:val="0"/>
                <w:szCs w:val="21"/>
              </w:rPr>
              <w:t>货物或服务名称</w:t>
            </w:r>
          </w:p>
        </w:tc>
        <w:tc>
          <w:tcPr>
            <w:tcW w:w="993" w:type="dxa"/>
            <w:noWrap w:val="0"/>
            <w:vAlign w:val="top"/>
          </w:tcPr>
          <w:p>
            <w:pPr>
              <w:adjustRightInd w:val="0"/>
              <w:spacing w:line="360" w:lineRule="auto"/>
              <w:textAlignment w:val="baseline"/>
              <w:rPr>
                <w:rFonts w:ascii="宋体" w:hAnsi="宋体" w:cs="宋体"/>
                <w:b/>
                <w:kern w:val="0"/>
                <w:szCs w:val="21"/>
              </w:rPr>
            </w:pPr>
            <w:r>
              <w:rPr>
                <w:rFonts w:hint="eastAsia" w:ascii="宋体" w:hAnsi="宋体" w:cs="宋体"/>
                <w:b/>
                <w:kern w:val="0"/>
                <w:szCs w:val="21"/>
              </w:rPr>
              <w:t>数量</w:t>
            </w:r>
          </w:p>
        </w:tc>
        <w:tc>
          <w:tcPr>
            <w:tcW w:w="708" w:type="dxa"/>
            <w:noWrap w:val="0"/>
            <w:vAlign w:val="top"/>
          </w:tcPr>
          <w:p>
            <w:pPr>
              <w:adjustRightInd w:val="0"/>
              <w:spacing w:line="360" w:lineRule="auto"/>
              <w:textAlignment w:val="baseline"/>
              <w:rPr>
                <w:rFonts w:ascii="宋体" w:hAnsi="宋体" w:cs="宋体"/>
                <w:b/>
                <w:kern w:val="0"/>
                <w:szCs w:val="21"/>
              </w:rPr>
            </w:pPr>
            <w:r>
              <w:rPr>
                <w:rFonts w:hint="eastAsia" w:ascii="宋体" w:hAnsi="宋体" w:cs="宋体"/>
                <w:b/>
                <w:kern w:val="0"/>
                <w:szCs w:val="21"/>
              </w:rPr>
              <w:t>单位</w:t>
            </w:r>
          </w:p>
        </w:tc>
        <w:tc>
          <w:tcPr>
            <w:tcW w:w="1502" w:type="dxa"/>
            <w:noWrap w:val="0"/>
            <w:vAlign w:val="top"/>
          </w:tcPr>
          <w:p>
            <w:pPr>
              <w:adjustRightInd w:val="0"/>
              <w:spacing w:line="360" w:lineRule="auto"/>
              <w:textAlignment w:val="baseline"/>
              <w:rPr>
                <w:rFonts w:ascii="宋体" w:hAnsi="宋体" w:cs="宋体"/>
                <w:b/>
                <w:kern w:val="0"/>
                <w:szCs w:val="21"/>
              </w:rPr>
            </w:pPr>
            <w:r>
              <w:rPr>
                <w:rFonts w:hint="eastAsia" w:ascii="宋体" w:hAnsi="宋体" w:cs="宋体"/>
                <w:b/>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41" w:type="dxa"/>
            <w:noWrap w:val="0"/>
            <w:vAlign w:val="top"/>
          </w:tcPr>
          <w:p>
            <w:pPr>
              <w:adjustRightInd w:val="0"/>
              <w:spacing w:line="360" w:lineRule="auto"/>
              <w:textAlignment w:val="baseline"/>
              <w:rPr>
                <w:rFonts w:ascii="宋体" w:hAnsi="宋体" w:cs="宋体"/>
                <w:bCs/>
                <w:kern w:val="0"/>
                <w:szCs w:val="21"/>
              </w:rPr>
            </w:pPr>
            <w:r>
              <w:rPr>
                <w:rFonts w:hint="eastAsia" w:ascii="宋体" w:hAnsi="宋体" w:cs="宋体"/>
                <w:bCs/>
                <w:kern w:val="0"/>
                <w:szCs w:val="21"/>
              </w:rPr>
              <w:t>1</w:t>
            </w:r>
          </w:p>
        </w:tc>
        <w:tc>
          <w:tcPr>
            <w:tcW w:w="3978" w:type="dxa"/>
            <w:noWrap w:val="0"/>
            <w:vAlign w:val="top"/>
          </w:tcPr>
          <w:p>
            <w:pPr>
              <w:adjustRightInd w:val="0"/>
              <w:spacing w:line="360" w:lineRule="auto"/>
              <w:textAlignment w:val="baseline"/>
              <w:rPr>
                <w:rFonts w:hint="eastAsia" w:ascii="宋体" w:hAnsi="宋体" w:cs="宋体"/>
                <w:bCs/>
                <w:kern w:val="0"/>
                <w:szCs w:val="21"/>
              </w:rPr>
            </w:pPr>
            <w:r>
              <w:rPr>
                <w:rFonts w:hint="eastAsia" w:ascii="宋体" w:hAnsi="宋体" w:cs="宋体"/>
                <w:bCs/>
                <w:kern w:val="0"/>
                <w:szCs w:val="21"/>
              </w:rPr>
              <w:t>北京市医疗器械检验研究院2026年度</w:t>
            </w:r>
          </w:p>
          <w:p>
            <w:pPr>
              <w:adjustRightInd w:val="0"/>
              <w:spacing w:line="360" w:lineRule="auto"/>
              <w:textAlignment w:val="baseline"/>
              <w:rPr>
                <w:rFonts w:ascii="宋体" w:hAnsi="宋体" w:cs="宋体"/>
                <w:bCs/>
                <w:kern w:val="0"/>
                <w:szCs w:val="21"/>
              </w:rPr>
            </w:pPr>
            <w:r>
              <w:rPr>
                <w:rFonts w:hint="eastAsia" w:ascii="宋体" w:hAnsi="宋体" w:cs="宋体"/>
                <w:bCs/>
                <w:kern w:val="0"/>
                <w:szCs w:val="21"/>
              </w:rPr>
              <w:t>物业管理服务采购项目</w:t>
            </w:r>
          </w:p>
        </w:tc>
        <w:tc>
          <w:tcPr>
            <w:tcW w:w="993" w:type="dxa"/>
            <w:noWrap w:val="0"/>
            <w:vAlign w:val="top"/>
          </w:tcPr>
          <w:p>
            <w:pPr>
              <w:adjustRightInd w:val="0"/>
              <w:spacing w:line="360" w:lineRule="auto"/>
              <w:textAlignment w:val="baseline"/>
              <w:rPr>
                <w:rFonts w:ascii="宋体" w:hAnsi="宋体" w:cs="宋体"/>
                <w:bCs/>
                <w:kern w:val="0"/>
                <w:szCs w:val="21"/>
              </w:rPr>
            </w:pPr>
            <w:r>
              <w:rPr>
                <w:rFonts w:hint="eastAsia" w:ascii="宋体" w:hAnsi="宋体" w:cs="宋体"/>
                <w:bCs/>
                <w:kern w:val="0"/>
                <w:szCs w:val="21"/>
              </w:rPr>
              <w:t>1</w:t>
            </w:r>
          </w:p>
        </w:tc>
        <w:tc>
          <w:tcPr>
            <w:tcW w:w="708" w:type="dxa"/>
            <w:noWrap w:val="0"/>
            <w:vAlign w:val="top"/>
          </w:tcPr>
          <w:p>
            <w:pPr>
              <w:adjustRightInd w:val="0"/>
              <w:spacing w:line="360" w:lineRule="auto"/>
              <w:textAlignment w:val="baseline"/>
              <w:rPr>
                <w:rFonts w:ascii="宋体" w:hAnsi="宋体" w:cs="宋体"/>
                <w:bCs/>
                <w:kern w:val="0"/>
                <w:szCs w:val="21"/>
              </w:rPr>
            </w:pPr>
            <w:r>
              <w:rPr>
                <w:rFonts w:hint="eastAsia" w:ascii="宋体" w:hAnsi="宋体" w:cs="宋体"/>
                <w:bCs/>
                <w:kern w:val="0"/>
                <w:szCs w:val="21"/>
              </w:rPr>
              <w:t>项</w:t>
            </w:r>
          </w:p>
        </w:tc>
        <w:tc>
          <w:tcPr>
            <w:tcW w:w="1502" w:type="dxa"/>
            <w:noWrap w:val="0"/>
            <w:vAlign w:val="top"/>
          </w:tcPr>
          <w:p>
            <w:pPr>
              <w:adjustRightInd w:val="0"/>
              <w:spacing w:line="360" w:lineRule="auto"/>
              <w:textAlignment w:val="baseline"/>
              <w:rPr>
                <w:rFonts w:ascii="宋体" w:hAnsi="宋体" w:cs="宋体"/>
                <w:b/>
                <w:kern w:val="0"/>
                <w:szCs w:val="21"/>
              </w:rPr>
            </w:pPr>
          </w:p>
        </w:tc>
      </w:tr>
    </w:tbl>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（二）项目概述</w:t>
      </w:r>
      <w:r>
        <w:rPr>
          <w:rFonts w:hint="eastAsia" w:ascii="宋体" w:hAnsi="宋体" w:cs="宋体"/>
          <w:bCs/>
          <w:iCs/>
          <w:kern w:val="0"/>
          <w:szCs w:val="21"/>
        </w:rPr>
        <w:t xml:space="preserve"> </w:t>
      </w:r>
    </w:p>
    <w:p>
      <w:pPr>
        <w:adjustRightInd w:val="0"/>
        <w:spacing w:line="360" w:lineRule="auto"/>
        <w:textAlignment w:val="baseline"/>
        <w:rPr>
          <w:rFonts w:ascii="宋体" w:hAnsi="宋体" w:cs="宋体"/>
          <w:b/>
          <w:kern w:val="0"/>
          <w:szCs w:val="21"/>
        </w:rPr>
      </w:pPr>
      <w:r>
        <w:rPr>
          <w:rFonts w:hint="eastAsia" w:ascii="宋体" w:hAnsi="宋体" w:cs="宋体"/>
          <w:b/>
          <w:kern w:val="0"/>
          <w:szCs w:val="21"/>
        </w:rPr>
        <w:t>1. 物业管理服务范围</w:t>
      </w:r>
      <w:bookmarkStart w:id="0" w:name="_GoBack"/>
      <w:bookmarkEnd w:id="0"/>
    </w:p>
    <w:p>
      <w:pPr>
        <w:adjustRightInd w:val="0"/>
        <w:spacing w:line="360" w:lineRule="auto"/>
        <w:textAlignment w:val="baseline"/>
        <w:rPr>
          <w:rFonts w:ascii="宋体" w:hAnsi="宋体" w:cs="宋体"/>
          <w:b/>
          <w:bCs/>
          <w:kern w:val="0"/>
          <w:szCs w:val="21"/>
        </w:rPr>
      </w:pPr>
      <w:r>
        <w:rPr>
          <w:rFonts w:hint="eastAsia" w:ascii="宋体" w:hAnsi="宋体" w:cs="宋体"/>
          <w:b/>
          <w:bCs/>
          <w:kern w:val="0"/>
          <w:szCs w:val="21"/>
        </w:rPr>
        <w:t>1.1北京市医疗器械检验研究院（北京市医用生物防护装备检验研究中心）</w:t>
      </w:r>
    </w:p>
    <w:p>
      <w:pPr>
        <w:adjustRightInd w:val="0"/>
        <w:spacing w:line="360" w:lineRule="auto"/>
        <w:ind w:firstLine="440"/>
        <w:textAlignment w:val="baseline"/>
        <w:rPr>
          <w:rFonts w:ascii="宋体" w:hAnsi="宋体" w:cs="宋体"/>
          <w:kern w:val="0"/>
          <w:sz w:val="24"/>
        </w:rPr>
      </w:pPr>
      <w:r>
        <w:rPr>
          <w:rFonts w:hint="eastAsia" w:ascii="宋体" w:hAnsi="宋体" w:cs="宋体"/>
          <w:kern w:val="0"/>
          <w:sz w:val="24"/>
        </w:rPr>
        <w:t>位于北京市通州区兴光二街7号，占地面积24500平方米，</w:t>
      </w:r>
      <w:r>
        <w:rPr>
          <w:rFonts w:hint="eastAsia" w:ascii="宋体" w:hAnsi="宋体" w:cs="宋体"/>
          <w:bCs/>
          <w:kern w:val="0"/>
          <w:sz w:val="24"/>
        </w:rPr>
        <w:t>总体布局呈正方形，主要由5栋主体楼房建筑和部分配套建筑组成，</w:t>
      </w:r>
      <w:r>
        <w:rPr>
          <w:rFonts w:hint="eastAsia" w:ascii="宋体" w:hAnsi="宋体" w:cs="宋体"/>
          <w:kern w:val="0"/>
          <w:sz w:val="24"/>
        </w:rPr>
        <w:t>总建筑面积36970平方米，</w:t>
      </w:r>
      <w:r>
        <w:rPr>
          <w:rFonts w:hint="eastAsia" w:ascii="宋体" w:hAnsi="宋体" w:cs="宋体"/>
          <w:bCs/>
          <w:kern w:val="0"/>
          <w:sz w:val="24"/>
        </w:rPr>
        <w:t>主要为办公、实验、机房及配套设施。5栋主体建筑分别以1至5号楼命名，其中，1号楼为办公、实验用房，建筑面积11270.72平方米；2号楼为实验用房，建筑面积1478.57平方米；3号楼为办公、实验用房，总建筑面积为22951.2平方米、其中地下建筑面积 6490平方米，地下2层，地上10层；4号楼为辅助用房，建筑面积786.9平方米；</w:t>
      </w:r>
      <w:r>
        <w:rPr>
          <w:rFonts w:hint="eastAsia" w:ascii="宋体" w:hAnsi="宋体" w:cs="宋体"/>
          <w:kern w:val="0"/>
          <w:sz w:val="24"/>
        </w:rPr>
        <w:t>5号楼为锅炉房一栋，建筑面积190.24</w:t>
      </w:r>
      <w:r>
        <w:rPr>
          <w:rFonts w:hint="eastAsia" w:ascii="宋体" w:hAnsi="宋体" w:cs="宋体"/>
          <w:bCs/>
          <w:kern w:val="0"/>
          <w:sz w:val="24"/>
        </w:rPr>
        <w:t>平方米</w:t>
      </w:r>
      <w:r>
        <w:rPr>
          <w:rFonts w:hint="eastAsia" w:ascii="宋体" w:hAnsi="宋体" w:cs="宋体"/>
          <w:kern w:val="0"/>
          <w:sz w:val="24"/>
        </w:rPr>
        <w:t>，地下消防泵房两处及二次供水泵房两处，门岗用房一栋，平房3栋。绿地总面积约7000平方米，栽植各类树木116株。</w:t>
      </w:r>
    </w:p>
    <w:p>
      <w:pPr>
        <w:numPr>
          <w:ilvl w:val="0"/>
          <w:numId w:val="1"/>
        </w:num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变配电系统情况</w:t>
      </w:r>
    </w:p>
    <w:p>
      <w:pPr>
        <w:adjustRightInd w:val="0"/>
        <w:spacing w:line="360" w:lineRule="auto"/>
        <w:textAlignment w:val="baseline"/>
        <w:rPr>
          <w:rFonts w:ascii="宋体" w:hAnsi="宋体" w:cs="宋体"/>
          <w:b/>
          <w:bCs/>
          <w:kern w:val="0"/>
          <w:szCs w:val="21"/>
        </w:rPr>
      </w:pPr>
      <w:r>
        <w:rPr>
          <w:rFonts w:hint="eastAsia" w:ascii="宋体" w:hAnsi="宋体" w:cs="宋体"/>
          <w:b/>
          <w:bCs/>
          <w:kern w:val="0"/>
          <w:szCs w:val="21"/>
        </w:rPr>
        <w:t xml:space="preserve">2.1  </w:t>
      </w:r>
      <w:r>
        <w:rPr>
          <w:rFonts w:hint="eastAsia" w:ascii="宋体" w:hAnsi="宋体" w:cs="宋体"/>
          <w:kern w:val="0"/>
          <w:sz w:val="24"/>
        </w:rPr>
        <w:t>市电电源情况：本院变配电系统为两路进线，由台湖变电站引来。</w:t>
      </w:r>
    </w:p>
    <w:p>
      <w:pPr>
        <w:adjustRightInd w:val="0"/>
        <w:spacing w:line="360" w:lineRule="auto"/>
        <w:textAlignment w:val="baseline"/>
        <w:rPr>
          <w:rFonts w:ascii="宋体" w:hAnsi="宋体" w:cs="宋体"/>
          <w:b/>
          <w:bCs/>
          <w:kern w:val="0"/>
          <w:sz w:val="24"/>
        </w:rPr>
      </w:pPr>
      <w:r>
        <w:rPr>
          <w:rFonts w:hint="eastAsia" w:ascii="宋体" w:hAnsi="宋体" w:cs="宋体"/>
          <w:b/>
          <w:bCs/>
          <w:kern w:val="0"/>
          <w:szCs w:val="21"/>
        </w:rPr>
        <w:t>2.2</w:t>
      </w:r>
      <w:r>
        <w:rPr>
          <w:rFonts w:hint="eastAsia" w:ascii="宋体" w:hAnsi="宋体" w:cs="宋体"/>
          <w:kern w:val="0"/>
          <w:szCs w:val="21"/>
        </w:rPr>
        <w:t xml:space="preserve">  </w:t>
      </w:r>
      <w:r>
        <w:rPr>
          <w:rFonts w:hint="eastAsia" w:ascii="宋体" w:hAnsi="宋体" w:cs="宋体"/>
          <w:kern w:val="0"/>
          <w:sz w:val="24"/>
        </w:rPr>
        <w:t>1号楼变配电室情况：</w:t>
      </w:r>
    </w:p>
    <w:p>
      <w:pPr>
        <w:adjustRightInd w:val="0"/>
        <w:spacing w:line="360" w:lineRule="auto"/>
        <w:textAlignment w:val="baseline"/>
        <w:rPr>
          <w:rFonts w:ascii="宋体" w:hAnsi="宋体" w:cs="宋体"/>
          <w:kern w:val="0"/>
          <w:sz w:val="24"/>
        </w:rPr>
      </w:pPr>
      <w:r>
        <w:rPr>
          <w:rFonts w:hint="eastAsia" w:ascii="宋体" w:hAnsi="宋体" w:cs="宋体"/>
          <w:kern w:val="0"/>
          <w:sz w:val="24"/>
        </w:rPr>
        <w:t>1号楼现有一座10/0.4KV变配电室，配备2台1250KVA干式变压器，总容量2500KVA，两台变压器分别由两路市政10KV电源供电。室内电气设备主要包括有：</w:t>
      </w:r>
    </w:p>
    <w:tbl>
      <w:tblPr>
        <w:tblStyle w:val="3"/>
        <w:tblW w:w="78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干式变压器2台，型号：SCB10-1250/10，额定容量1250KVA，出厂日期2010年6月，生产厂家：广州西门子变压器有限公司。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高压柜10面，型号KYN28A-12，出厂日期2010年6月，生产厂家：北京通州开关有限公司。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低压柜17面，型号：GCK，出厂日期2010年6月，生产厂家：北京通州开关有限公司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低压柜2面，型号：MNS，出厂日期2022年8月，生产厂家：镇江市云鹏电器有限公司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 xml:space="preserve">直流屏3台，型号：HXQ-32-L,出厂日期2019年3月，生产厂家:北京市朝阳新立开关设备有限公司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7862" w:type="dxa"/>
            <w:noWrap w:val="0"/>
            <w:vAlign w:val="top"/>
          </w:tcPr>
          <w:p>
            <w:pPr>
              <w:adjustRightInd w:val="0"/>
              <w:snapToGrid w:val="0"/>
              <w:textAlignment w:val="baseline"/>
              <w:rPr>
                <w:rFonts w:ascii="宋体" w:hAnsi="宋体" w:cs="宋体"/>
                <w:kern w:val="0"/>
                <w:szCs w:val="21"/>
              </w:rPr>
            </w:pPr>
            <w:r>
              <w:rPr>
                <w:rFonts w:hint="eastAsia" w:ascii="宋体" w:hAnsi="宋体" w:cs="宋体"/>
                <w:kern w:val="0"/>
                <w:szCs w:val="21"/>
              </w:rPr>
              <w:t>封闭母线桥4座。</w:t>
            </w:r>
          </w:p>
        </w:tc>
      </w:tr>
    </w:tbl>
    <w:p>
      <w:pPr>
        <w:adjustRightInd w:val="0"/>
        <w:spacing w:line="360" w:lineRule="auto"/>
        <w:textAlignment w:val="baseline"/>
        <w:rPr>
          <w:rFonts w:ascii="宋体" w:hAnsi="宋体" w:cs="宋体"/>
          <w:kern w:val="0"/>
          <w:szCs w:val="21"/>
        </w:rPr>
      </w:pPr>
      <w:r>
        <w:rPr>
          <w:rFonts w:hint="eastAsia" w:ascii="宋体" w:hAnsi="宋体" w:cs="宋体"/>
          <w:kern w:val="0"/>
          <w:szCs w:val="21"/>
        </w:rPr>
        <w:t>2.3</w:t>
      </w:r>
      <w:r>
        <w:rPr>
          <w:rFonts w:hint="eastAsia" w:ascii="宋体" w:hAnsi="宋体" w:cs="宋体"/>
          <w:kern w:val="0"/>
          <w:szCs w:val="21"/>
          <w:lang w:val="en-US" w:eastAsia="zh-CN"/>
        </w:rPr>
        <w:t xml:space="preserve">  3</w:t>
      </w:r>
      <w:r>
        <w:rPr>
          <w:rFonts w:hint="eastAsia" w:ascii="宋体" w:hAnsi="宋体" w:cs="宋体"/>
          <w:kern w:val="0"/>
          <w:szCs w:val="21"/>
        </w:rPr>
        <w:t>号楼配电室情况：</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本楼采用380/220V低压电源供电。电源由1号楼变配电室引来，电源接驳方式为电缆埋地引入，室内电气设备主要包括：</w:t>
      </w:r>
    </w:p>
    <w:tbl>
      <w:tblPr>
        <w:tblStyle w:val="3"/>
        <w:tblW w:w="78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atLeast"/>
          <w:jc w:val="center"/>
        </w:trPr>
        <w:tc>
          <w:tcPr>
            <w:tcW w:w="7862" w:type="dxa"/>
            <w:noWrap w:val="0"/>
            <w:vAlign w:val="top"/>
          </w:tcPr>
          <w:p>
            <w:pPr>
              <w:adjustRightInd w:val="0"/>
              <w:textAlignment w:val="baseline"/>
              <w:rPr>
                <w:rFonts w:ascii="宋体" w:hAnsi="宋体" w:cs="宋体"/>
                <w:kern w:val="0"/>
                <w:szCs w:val="21"/>
              </w:rPr>
            </w:pPr>
            <w:r>
              <w:rPr>
                <w:rFonts w:hint="eastAsia" w:ascii="宋体" w:hAnsi="宋体" w:cs="宋体"/>
                <w:kern w:val="0"/>
                <w:szCs w:val="21"/>
              </w:rPr>
              <w:t>低压柜13面，型号：MNS出厂日期2022年5月，生产厂家：镇江市云鹏电器有限公司</w:t>
            </w:r>
          </w:p>
        </w:tc>
      </w:tr>
    </w:tbl>
    <w:p>
      <w:pPr>
        <w:adjustRightInd w:val="0"/>
        <w:spacing w:line="360" w:lineRule="auto"/>
        <w:textAlignment w:val="baseline"/>
        <w:rPr>
          <w:rFonts w:ascii="宋体" w:hAnsi="宋体" w:cs="宋体"/>
          <w:b/>
          <w:bCs/>
          <w:kern w:val="0"/>
          <w:szCs w:val="21"/>
        </w:rPr>
      </w:pPr>
      <w:r>
        <w:rPr>
          <w:rFonts w:hint="eastAsia" w:ascii="宋体" w:hAnsi="宋体" w:cs="宋体"/>
          <w:b/>
          <w:bCs/>
          <w:kern w:val="0"/>
          <w:szCs w:val="21"/>
        </w:rPr>
        <w:t>3. 供、排水系统情况</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3.1供水系统:</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院区供水由光机电园区市政管线引入，管径为DN200，直给水压力为0.3MMP，范围为1号楼的1.2.3层，2号楼、4号楼，5号楼和大院绿化用水。其余部分为院区水泵房二次供水，给水范围是1号楼的4.5层、3号楼的1-10层，地下人防、地下车库。二次供水水泵房两个，一个位于大院门口地下，一个位于3号楼负一层。</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3.2排水系统：</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室内生活污水就近排至室外化粪池，经处理后排至园区污水管网。含有微量酸、碱的实验室污水，先经各实验室稀释后，通过室内排水管道系统自然中和后，排入本项目区域污水管网。含有浓酸或浓碱的实验室污水须回收，倒入专用废液容器中，再由外协单位进行处理。室外污水井70个，雨水井23个，分布在园区各处。园区化粪池共6处，其中1号楼4处，3号楼2处，辅助用房食堂用隔油池1处。</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院内外网主要阀门清单:</w:t>
      </w:r>
    </w:p>
    <w:tbl>
      <w:tblPr>
        <w:tblStyle w:val="3"/>
        <w:tblW w:w="85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2135"/>
        <w:gridCol w:w="1823"/>
        <w:gridCol w:w="1661"/>
        <w:gridCol w:w="2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782"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序号</w:t>
            </w:r>
          </w:p>
        </w:tc>
        <w:tc>
          <w:tcPr>
            <w:tcW w:w="2135"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设备名称</w:t>
            </w:r>
          </w:p>
        </w:tc>
        <w:tc>
          <w:tcPr>
            <w:tcW w:w="182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生产厂家、型号</w:t>
            </w:r>
          </w:p>
        </w:tc>
        <w:tc>
          <w:tcPr>
            <w:tcW w:w="166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数量（台/套）</w:t>
            </w:r>
          </w:p>
        </w:tc>
        <w:tc>
          <w:tcPr>
            <w:tcW w:w="213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投入使用日期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2"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2135"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暗杆闸阀</w:t>
            </w:r>
          </w:p>
        </w:tc>
        <w:tc>
          <w:tcPr>
            <w:tcW w:w="182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远大DN150</w:t>
            </w:r>
          </w:p>
        </w:tc>
        <w:tc>
          <w:tcPr>
            <w:tcW w:w="166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213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2021年3月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2"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2135"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暗杠闸阀</w:t>
            </w:r>
          </w:p>
        </w:tc>
        <w:tc>
          <w:tcPr>
            <w:tcW w:w="182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远大DN125</w:t>
            </w:r>
          </w:p>
        </w:tc>
        <w:tc>
          <w:tcPr>
            <w:tcW w:w="166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213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2021年3月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2"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3</w:t>
            </w:r>
          </w:p>
        </w:tc>
        <w:tc>
          <w:tcPr>
            <w:tcW w:w="2135"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暗杆闸阀</w:t>
            </w:r>
          </w:p>
        </w:tc>
        <w:tc>
          <w:tcPr>
            <w:tcW w:w="182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远大DN100</w:t>
            </w:r>
          </w:p>
        </w:tc>
        <w:tc>
          <w:tcPr>
            <w:tcW w:w="166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213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2021年3月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2"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2135"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暗杆闸阀</w:t>
            </w:r>
          </w:p>
        </w:tc>
        <w:tc>
          <w:tcPr>
            <w:tcW w:w="182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远大DN100</w:t>
            </w:r>
          </w:p>
        </w:tc>
        <w:tc>
          <w:tcPr>
            <w:tcW w:w="166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213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2021年3月</w:t>
            </w:r>
          </w:p>
        </w:tc>
      </w:tr>
    </w:tbl>
    <w:p>
      <w:pPr>
        <w:adjustRightInd w:val="0"/>
        <w:spacing w:line="360" w:lineRule="auto"/>
        <w:textAlignment w:val="baseline"/>
        <w:rPr>
          <w:rFonts w:ascii="宋体" w:hAnsi="宋体" w:cs="宋体"/>
          <w:kern w:val="0"/>
          <w:szCs w:val="21"/>
        </w:rPr>
      </w:pPr>
      <w:r>
        <w:rPr>
          <w:rFonts w:hint="eastAsia" w:ascii="宋体" w:hAnsi="宋体" w:cs="宋体"/>
          <w:kern w:val="0"/>
          <w:szCs w:val="21"/>
        </w:rPr>
        <w:t>给排水主要设备清单：</w:t>
      </w:r>
    </w:p>
    <w:tbl>
      <w:tblPr>
        <w:tblStyle w:val="3"/>
        <w:tblW w:w="88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
        <w:gridCol w:w="1813"/>
        <w:gridCol w:w="3600"/>
        <w:gridCol w:w="1310"/>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4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序号</w:t>
            </w:r>
          </w:p>
        </w:tc>
        <w:tc>
          <w:tcPr>
            <w:tcW w:w="181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设备名称</w:t>
            </w:r>
          </w:p>
        </w:tc>
        <w:tc>
          <w:tcPr>
            <w:tcW w:w="360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生产厂家、型号</w:t>
            </w:r>
          </w:p>
        </w:tc>
        <w:tc>
          <w:tcPr>
            <w:tcW w:w="131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数量（台/套）</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投入使用日期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给水泵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上海连成SGB7.5/5-0.32-2</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中水泵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 xml:space="preserve">上海连成SGB7.5/2.7-0.32-2 </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3</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人防变频泵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上海连成SQL3.2/1.3-0.024-2</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4</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潜污泵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上海连成65WQC30-22-4</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5</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潜污泵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上海连成65WQC30-22-5.5</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6</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潜污泵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上海连成50WQC15-16-1.5</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7</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不锈钢水箱（食品级）</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上海连成3500×3500×3000mm</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8</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不锈钢水箱</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上海连成3000×3000×2500mm</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9</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紫外线消毒器</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六联环保</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10</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软化水处理系统设备</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吉汇通源成套设备</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11</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补水泵</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上海创新给水设备制造有限公司</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2010年11月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12</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紫外线消毒器</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照光光SYZW30-4</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2016年12月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79"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13</w:t>
            </w:r>
          </w:p>
        </w:tc>
        <w:tc>
          <w:tcPr>
            <w:tcW w:w="1813"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水泵控制箱</w:t>
            </w:r>
          </w:p>
        </w:tc>
        <w:tc>
          <w:tcPr>
            <w:tcW w:w="360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上海创新给水设备制造有限公司</w:t>
            </w:r>
          </w:p>
        </w:tc>
        <w:tc>
          <w:tcPr>
            <w:tcW w:w="1310"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textAlignment w:val="baseline"/>
              <w:rPr>
                <w:rFonts w:ascii="宋体" w:hAnsi="宋体" w:cs="宋体"/>
                <w:kern w:val="0"/>
                <w:szCs w:val="21"/>
              </w:rPr>
            </w:pPr>
            <w:r>
              <w:rPr>
                <w:rFonts w:hint="eastAsia" w:ascii="宋体" w:hAnsi="宋体" w:cs="宋体"/>
                <w:kern w:val="0"/>
                <w:szCs w:val="21"/>
              </w:rPr>
              <w:t>2010年11月</w:t>
            </w:r>
          </w:p>
        </w:tc>
      </w:tr>
    </w:tbl>
    <w:p>
      <w:pPr>
        <w:adjustRightInd w:val="0"/>
        <w:spacing w:line="360" w:lineRule="auto"/>
        <w:textAlignment w:val="baseline"/>
        <w:rPr>
          <w:rFonts w:ascii="宋体" w:hAnsi="宋体" w:cs="宋体"/>
          <w:b/>
          <w:bCs/>
          <w:kern w:val="0"/>
          <w:szCs w:val="21"/>
        </w:rPr>
      </w:pPr>
      <w:r>
        <w:rPr>
          <w:rFonts w:hint="eastAsia" w:ascii="宋体" w:hAnsi="宋体" w:cs="宋体"/>
          <w:b/>
          <w:bCs/>
          <w:kern w:val="0"/>
          <w:szCs w:val="21"/>
        </w:rPr>
        <w:t>4.供暖系统</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本院供暖采用自供暖方式，供暖热力井8个，分别控制院内多个建筑的供暖系统。主要设备清单如下:</w:t>
      </w:r>
    </w:p>
    <w:tbl>
      <w:tblPr>
        <w:tblStyle w:val="3"/>
        <w:tblW w:w="85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38"/>
        <w:gridCol w:w="2963"/>
        <w:gridCol w:w="1258"/>
        <w:gridCol w:w="1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序号</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设备名称</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生产厂家、型号</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数量（台/套）</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投入使用日期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燃气锅炉</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广州迪森WNS1.05-1.0/95/70-Y、Q</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全自动软水器</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JBQ R-5A</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3</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热网补给水泵（变频控制）</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上海创科伟业ISG25-160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4</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热网循环水泵（变频控制）</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上海创科伟业QPGR100-315</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5</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分集水器</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273*1500*10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4</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6</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立式直通除污器</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DN200-1.0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7</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烟道消声器</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ZG型DN400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8</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燃烧器消声罩</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ZG型</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9</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软化水箱</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1200*1400*1400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10</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仪表柜</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800*1800*450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11</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换热机组</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赛尔暖通KQJZ-24*2</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12</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补水泵</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南方泵业YE3-71M2-2</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13</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循环泵</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南方泵业YE3-132S2-2</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3</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14</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集水器</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赛尔暖通DN325*2250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0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15</w:t>
            </w:r>
          </w:p>
        </w:tc>
        <w:tc>
          <w:tcPr>
            <w:tcW w:w="193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稳压管</w:t>
            </w:r>
          </w:p>
        </w:tc>
        <w:tc>
          <w:tcPr>
            <w:tcW w:w="296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沈阳君屹400*1700</w:t>
            </w:r>
          </w:p>
        </w:tc>
        <w:tc>
          <w:tcPr>
            <w:tcW w:w="12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671"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2022年12月</w:t>
            </w:r>
          </w:p>
        </w:tc>
      </w:tr>
    </w:tbl>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 xml:space="preserve">5.消防报警系统 </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院区1号楼消防控制室设在楼内1层，有西门子FC18R型火灾报警控制器一台、控制1号楼内349个感烟探测器，2个温感报警器，26个声光报警器，51个手动报警装置，利达JB-QB-LD5502ENI型气体灭火控制器一台。</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 xml:space="preserve">3号楼消防控制室设在楼内1层，有青鸟JB-TT-JBF-11SF-C型火灾报警控制器一台，控制3号楼内750个感烟报警器，82个声光报警器，4个温感报警器，81个手动报警装置。青鸟JBF5203型消防控制室图形显示装置一台，青鸟JBF-62S30型电气火灾监控设备一台，青鸟JBF-62S20型防火门监控器一台，青鸟JBF-62S60型消防设备电源状态监控器一台，青鸟JB-QB-JBF-51S40型可燃气体报警控制器一台，正润ZWP-SW-03-R型液位报警控制器2个，欣久XJ-C-100W-A型应急照明控制器一台。  </w:t>
      </w:r>
    </w:p>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 xml:space="preserve">6.喷淋灭火系统 </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院区设有二处消防泵房，一处在院区大门口地下，设有消防水池一个，有效容积为400m³，TYPE Y225M-2消防泵2个，TYPE Y200L2-2喷淋泵2个；另一处在3号楼地下2层，设有消防水池一个，有效容积为300m³，XBD10.0/20G-ALW型消防泵2台，XBD10.5/40G-ALW型喷淋泵2台，BR-XFXJ-A巡检柜1台。</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院区内共有35个室外消防井；1号楼内有室内消火栓65个及喷淋头786个；3号楼内有室内消火栓106个及喷淋头2366个。</w:t>
      </w:r>
    </w:p>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7.公共服务设施情况</w:t>
      </w:r>
    </w:p>
    <w:p>
      <w:pPr>
        <w:adjustRightInd w:val="0"/>
        <w:spacing w:line="360" w:lineRule="auto"/>
        <w:jc w:val="left"/>
        <w:textAlignment w:val="baseline"/>
        <w:rPr>
          <w:rFonts w:ascii="宋体" w:hAnsi="宋体" w:cs="宋体"/>
          <w:bCs/>
          <w:kern w:val="0"/>
          <w:szCs w:val="21"/>
        </w:rPr>
      </w:pPr>
      <w:r>
        <w:rPr>
          <w:rFonts w:hint="eastAsia" w:ascii="宋体" w:hAnsi="宋体" w:cs="宋体"/>
          <w:bCs/>
          <w:kern w:val="0"/>
          <w:szCs w:val="21"/>
        </w:rPr>
        <w:t>公共会议室10个，其中容纳10人会议室1个、20人会议室5个、50人会议室1个、100人以上会议室2个、电教室1个。</w:t>
      </w:r>
    </w:p>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9.电梯</w:t>
      </w:r>
    </w:p>
    <w:p>
      <w:pPr>
        <w:adjustRightInd w:val="0"/>
        <w:spacing w:line="360" w:lineRule="auto"/>
        <w:textAlignment w:val="baseline"/>
        <w:rPr>
          <w:rFonts w:ascii="宋体" w:hAnsi="宋体" w:cs="宋体"/>
          <w:kern w:val="0"/>
          <w:szCs w:val="21"/>
        </w:rPr>
      </w:pPr>
      <w:r>
        <w:rPr>
          <w:rFonts w:hint="eastAsia" w:ascii="宋体" w:hAnsi="宋体" w:cs="宋体"/>
          <w:kern w:val="0"/>
          <w:szCs w:val="21"/>
        </w:rPr>
        <w:t>园区共8部电梯，其中客梯4部，客货两用梯2部，货梯1部，杂物梯1部。</w:t>
      </w:r>
    </w:p>
    <w:tbl>
      <w:tblPr>
        <w:tblStyle w:val="3"/>
        <w:tblW w:w="85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734"/>
        <w:gridCol w:w="2893"/>
        <w:gridCol w:w="1558"/>
        <w:gridCol w:w="1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序号</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设备名称</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生产厂家、型号</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数量（台/套）</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投入使用日期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日立电梯（中国）有限公司UAX1000KG-CO1.0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日立电梯（中国）有限公司NF2000KG-2S1.0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3</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日立电梯（中国）有限公司HGP1050KG-C01.0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4</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杂货梯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北京中建泰达电梯有限公司TWJ20010.4-ASW</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2015年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5</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日立电梯（中国）有限公司LGE-1000-C060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6</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日立电梯（中国）有限公司LGE-1000-C060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7</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日立电梯（中国）有限公司LGE-1600-C060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70"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8</w:t>
            </w:r>
          </w:p>
        </w:tc>
        <w:tc>
          <w:tcPr>
            <w:tcW w:w="1734"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HITACHI电梯</w:t>
            </w:r>
          </w:p>
        </w:tc>
        <w:tc>
          <w:tcPr>
            <w:tcW w:w="2893"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日立电梯（中国）有限公司MCA-1600-C060</w:t>
            </w:r>
          </w:p>
        </w:tc>
        <w:tc>
          <w:tcPr>
            <w:tcW w:w="1558"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1</w:t>
            </w:r>
          </w:p>
        </w:tc>
        <w:tc>
          <w:tcPr>
            <w:tcW w:w="1579" w:type="dxa"/>
            <w:noWrap w:val="0"/>
            <w:vAlign w:val="center"/>
          </w:tcPr>
          <w:p>
            <w:pPr>
              <w:adjustRightInd w:val="0"/>
              <w:jc w:val="center"/>
              <w:textAlignment w:val="baseline"/>
              <w:rPr>
                <w:rFonts w:ascii="宋体" w:hAnsi="宋体" w:cs="宋体"/>
                <w:kern w:val="0"/>
                <w:szCs w:val="21"/>
              </w:rPr>
            </w:pPr>
            <w:r>
              <w:rPr>
                <w:rFonts w:hint="eastAsia" w:ascii="宋体" w:hAnsi="宋体" w:cs="宋体"/>
                <w:kern w:val="0"/>
                <w:szCs w:val="21"/>
              </w:rPr>
              <w:t>2022年</w:t>
            </w:r>
          </w:p>
        </w:tc>
      </w:tr>
    </w:tbl>
    <w:p>
      <w:pPr>
        <w:pStyle w:val="6"/>
        <w:spacing w:line="360" w:lineRule="auto"/>
        <w:ind w:firstLine="0" w:firstLineChars="0"/>
        <w:contextualSpacing/>
        <w:rPr>
          <w:rFonts w:ascii="宋体" w:hAnsi="宋体" w:cs="宋体"/>
          <w:b/>
          <w:kern w:val="0"/>
          <w:szCs w:val="21"/>
        </w:rPr>
      </w:pPr>
      <w:r>
        <w:rPr>
          <w:rFonts w:hint="eastAsia" w:ascii="宋体" w:hAnsi="宋体" w:cs="宋体"/>
          <w:b/>
          <w:kern w:val="0"/>
          <w:szCs w:val="21"/>
        </w:rPr>
        <w:t>二、商务要求</w:t>
      </w:r>
    </w:p>
    <w:p>
      <w:pPr>
        <w:adjustRightInd w:val="0"/>
        <w:spacing w:line="360" w:lineRule="auto"/>
        <w:contextualSpacing/>
        <w:jc w:val="left"/>
        <w:textAlignment w:val="baseline"/>
        <w:rPr>
          <w:rFonts w:ascii="宋体" w:hAnsi="宋体" w:cs="宋体"/>
          <w:b/>
          <w:bCs/>
          <w:kern w:val="0"/>
          <w:szCs w:val="21"/>
        </w:rPr>
      </w:pPr>
      <w:r>
        <w:rPr>
          <w:rFonts w:hint="eastAsia" w:ascii="宋体" w:hAnsi="宋体" w:cs="宋体"/>
          <w:b/>
          <w:bCs/>
          <w:kern w:val="0"/>
          <w:szCs w:val="21"/>
        </w:rPr>
        <w:t>1. 交付（实施）的时间（期限）和地点（范围）</w:t>
      </w:r>
    </w:p>
    <w:p>
      <w:pPr>
        <w:adjustRightInd w:val="0"/>
        <w:snapToGrid w:val="0"/>
        <w:spacing w:line="360" w:lineRule="auto"/>
        <w:contextualSpacing/>
        <w:textAlignment w:val="baseline"/>
        <w:rPr>
          <w:rFonts w:ascii="宋体" w:hAnsi="宋体" w:cs="宋体"/>
          <w:kern w:val="0"/>
          <w:szCs w:val="21"/>
        </w:rPr>
      </w:pPr>
      <w:r>
        <w:rPr>
          <w:rFonts w:hint="eastAsia" w:ascii="宋体" w:hAnsi="宋体" w:cs="宋体"/>
          <w:kern w:val="0"/>
          <w:szCs w:val="21"/>
        </w:rPr>
        <w:t>服务期：1年。服务地点：北京市通州区兴光二街7号</w:t>
      </w:r>
    </w:p>
    <w:p>
      <w:pPr>
        <w:adjustRightInd w:val="0"/>
        <w:spacing w:line="360" w:lineRule="auto"/>
        <w:contextualSpacing/>
        <w:jc w:val="left"/>
        <w:textAlignment w:val="baseline"/>
        <w:rPr>
          <w:rFonts w:ascii="宋体" w:hAnsi="宋体" w:cs="宋体"/>
          <w:b/>
          <w:bCs/>
          <w:kern w:val="0"/>
          <w:szCs w:val="21"/>
        </w:rPr>
      </w:pPr>
      <w:r>
        <w:rPr>
          <w:rFonts w:hint="eastAsia" w:ascii="宋体" w:hAnsi="宋体" w:cs="宋体"/>
          <w:b/>
          <w:bCs/>
          <w:kern w:val="0"/>
          <w:szCs w:val="21"/>
        </w:rPr>
        <w:t>2. 付款条件（进度和方式）</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物业服务费实行后付制，按每月分期支付。每月的5日前</w:t>
      </w:r>
      <w:r>
        <w:rPr>
          <w:rFonts w:ascii="宋体" w:hAnsi="宋体" w:cs="宋体"/>
          <w:kern w:val="0"/>
          <w:szCs w:val="21"/>
        </w:rPr>
        <w:t>中标人</w:t>
      </w:r>
      <w:r>
        <w:rPr>
          <w:rFonts w:hint="eastAsia" w:ascii="宋体" w:hAnsi="宋体" w:cs="宋体"/>
          <w:kern w:val="0"/>
          <w:szCs w:val="21"/>
        </w:rPr>
        <w:t>就上月项目管理费用进行核算，交由采购人进行审核；</w:t>
      </w:r>
      <w:r>
        <w:rPr>
          <w:rFonts w:ascii="宋体" w:hAnsi="宋体" w:cs="宋体"/>
          <w:kern w:val="0"/>
          <w:szCs w:val="21"/>
        </w:rPr>
        <w:t>采购人</w:t>
      </w:r>
      <w:r>
        <w:rPr>
          <w:rFonts w:hint="eastAsia" w:ascii="宋体" w:hAnsi="宋体" w:cs="宋体"/>
          <w:kern w:val="0"/>
          <w:szCs w:val="21"/>
        </w:rPr>
        <w:t>于15日前向财务部门办理请款手续，支付时间为当月20日前，支付金额以财务部门审核为准。2026年12月份，中标人在当月15日前，提供结算发票。</w:t>
      </w:r>
    </w:p>
    <w:p>
      <w:pPr>
        <w:adjustRightInd w:val="0"/>
        <w:spacing w:line="360" w:lineRule="auto"/>
        <w:jc w:val="left"/>
        <w:textAlignment w:val="baseline"/>
        <w:rPr>
          <w:rFonts w:ascii="宋体" w:hAnsi="宋体" w:cs="宋体"/>
          <w:bCs/>
          <w:kern w:val="0"/>
          <w:szCs w:val="21"/>
        </w:rPr>
      </w:pPr>
      <w:r>
        <w:rPr>
          <w:rFonts w:hint="eastAsia" w:ascii="宋体" w:hAnsi="宋体" w:cs="宋体"/>
          <w:bCs/>
          <w:kern w:val="0"/>
          <w:szCs w:val="21"/>
        </w:rPr>
        <w:t xml:space="preserve"> </w:t>
      </w:r>
      <w:r>
        <w:rPr>
          <w:rFonts w:hint="eastAsia" w:ascii="宋体" w:hAnsi="宋体" w:cs="宋体"/>
          <w:b/>
          <w:kern w:val="0"/>
          <w:szCs w:val="21"/>
        </w:rPr>
        <w:t>三、技术要求</w:t>
      </w:r>
    </w:p>
    <w:p>
      <w:pPr>
        <w:adjustRightInd w:val="0"/>
        <w:spacing w:line="360" w:lineRule="auto"/>
        <w:jc w:val="left"/>
        <w:textAlignment w:val="baseline"/>
        <w:rPr>
          <w:rFonts w:ascii="宋体" w:hAnsi="宋体" w:cs="宋体"/>
          <w:b/>
          <w:bCs/>
          <w:kern w:val="0"/>
          <w:szCs w:val="21"/>
          <w:lang w:val="en"/>
        </w:rPr>
      </w:pPr>
      <w:r>
        <w:rPr>
          <w:rFonts w:hint="eastAsia" w:ascii="宋体" w:hAnsi="宋体" w:cs="宋体"/>
          <w:b/>
          <w:bCs/>
          <w:kern w:val="0"/>
          <w:szCs w:val="21"/>
          <w:lang w:val="en"/>
        </w:rPr>
        <w:t>1.</w:t>
      </w:r>
      <w:r>
        <w:rPr>
          <w:rFonts w:hint="eastAsia" w:ascii="宋体" w:hAnsi="宋体" w:cs="宋体"/>
          <w:b/>
          <w:bCs/>
          <w:kern w:val="0"/>
          <w:szCs w:val="21"/>
        </w:rPr>
        <w:t>采购标的需实现的功能或者目标。</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负责对北京市医疗器械检验研究院大院的物业管理服务。</w:t>
      </w:r>
    </w:p>
    <w:p>
      <w:pPr>
        <w:adjustRightInd w:val="0"/>
        <w:spacing w:line="360" w:lineRule="auto"/>
        <w:jc w:val="left"/>
        <w:textAlignment w:val="baseline"/>
        <w:rPr>
          <w:rFonts w:ascii="宋体" w:hAnsi="宋体" w:cs="宋体"/>
          <w:b/>
          <w:bCs/>
          <w:kern w:val="0"/>
          <w:szCs w:val="21"/>
        </w:rPr>
      </w:pPr>
      <w:r>
        <w:rPr>
          <w:rFonts w:hint="eastAsia" w:ascii="宋体" w:hAnsi="宋体" w:cs="宋体"/>
          <w:b/>
          <w:bCs/>
          <w:kern w:val="0"/>
          <w:szCs w:val="21"/>
        </w:rPr>
        <w:t>2.需执行的国家相关标准、行业标准、地方标准或者其他标准、规范，</w:t>
      </w:r>
    </w:p>
    <w:p>
      <w:pPr>
        <w:adjustRightInd w:val="0"/>
        <w:spacing w:line="360" w:lineRule="auto"/>
        <w:jc w:val="left"/>
        <w:textAlignment w:val="baseline"/>
        <w:rPr>
          <w:rFonts w:ascii="宋体" w:hAnsi="宋体" w:cs="宋体"/>
          <w:kern w:val="0"/>
          <w:szCs w:val="21"/>
        </w:rPr>
      </w:pPr>
      <w:r>
        <w:rPr>
          <w:rFonts w:hint="eastAsia" w:ascii="宋体" w:hAnsi="宋体" w:cs="宋体"/>
          <w:kern w:val="0"/>
          <w:szCs w:val="21"/>
        </w:rPr>
        <w:t>包括但不限于达到北京市及国家相关行业标准。</w:t>
      </w:r>
    </w:p>
    <w:p>
      <w:pPr>
        <w:widowControl/>
        <w:adjustRightInd w:val="0"/>
        <w:spacing w:line="360" w:lineRule="auto"/>
        <w:contextualSpacing/>
        <w:jc w:val="left"/>
        <w:textAlignment w:val="baseline"/>
        <w:rPr>
          <w:rFonts w:ascii="宋体" w:hAnsi="宋体" w:cs="宋体"/>
          <w:b/>
          <w:bCs/>
          <w:kern w:val="0"/>
          <w:szCs w:val="21"/>
        </w:rPr>
      </w:pPr>
      <w:r>
        <w:rPr>
          <w:rFonts w:hint="eastAsia" w:ascii="宋体" w:hAnsi="宋体" w:cs="宋体"/>
          <w:b/>
          <w:bCs/>
          <w:kern w:val="0"/>
          <w:szCs w:val="21"/>
        </w:rPr>
        <w:t>3.采购标的需满足的质量、安全、技术规格等要求：</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.1</w:t>
      </w:r>
      <w:r>
        <w:rPr>
          <w:rFonts w:hint="eastAsia" w:ascii="宋体" w:hAnsi="宋体" w:cs="宋体"/>
          <w:b/>
          <w:bCs/>
          <w:kern w:val="0"/>
          <w:szCs w:val="21"/>
        </w:rPr>
        <w:t>基础设施维护维修</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负责物业管理区域的公共建筑、设施、设备的维护维修，保证水、电、气、暖等的正常供给。</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房屋公用部位进行日常管理和维修养护，维修养护记录完整；根据房屋实际使用情况和使用年限，定期检查房屋的安全状况，并做好检查记录；发现问题及时向采购人报告，提出方案或建议，经采购人同意后组织实施。遇紧急情况时，应采取必要的应急措施；及时完成各项零星维修任务，零星维修合格率100%，一般维修任务完成时限不得超过24小时。</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定期对给排水系统进行检查巡视，压力符合要求，仪表指示准确，保证给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定期对排水管进行清通、养护及清除污垢，保证室内外排水系统畅通，保证汛期道路、地下室、设备间无积水和浸泡的现象发生；化粪池每季月度巡查1次。出入口畅通，井内无积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及时发现并解决故障，零修合格率100%；给排水系统发生故障时，维修人员在10分钟内到达现场抢修，一般故障抢修做到不过夜；根据物业管理区域内实际情况，制定事故应急处置方案；制定停水、爆管等应急处理程序；配合做好节约用水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维护到位，维修及时，保证水电气暖管线正常运行，确保日常办公、实验的正常开展。</w:t>
      </w:r>
    </w:p>
    <w:p>
      <w:pPr>
        <w:autoSpaceDE w:val="0"/>
        <w:autoSpaceDN w:val="0"/>
        <w:adjustRightInd w:val="0"/>
        <w:spacing w:line="360" w:lineRule="atLeast"/>
        <w:jc w:val="left"/>
        <w:textAlignment w:val="baseline"/>
        <w:rPr>
          <w:rFonts w:ascii="宋体" w:hAnsi="宋体" w:cs="宋体"/>
          <w:kern w:val="0"/>
          <w:szCs w:val="21"/>
        </w:rPr>
      </w:pP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.3</w:t>
      </w:r>
      <w:r>
        <w:rPr>
          <w:rFonts w:hint="eastAsia" w:ascii="宋体" w:hAnsi="宋体" w:cs="宋体"/>
          <w:b/>
          <w:bCs/>
          <w:kern w:val="0"/>
          <w:szCs w:val="21"/>
        </w:rPr>
        <w:t>电梯应急处置</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3.3.1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配合电梯维保公司进行电梯运行管理，制定相关应急管理方案。</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3.3.2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明确电梯管理责任人，建立电梯应急处置、安全管理制度，配合维保公司确保电梯正常运行；电梯出现故障，接到报修后电梯责任人应在10分钟内到达现场协助维保人员进行抢修，全力配合电梯维修人员，及时排除故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.4</w:t>
      </w:r>
      <w:r>
        <w:rPr>
          <w:rFonts w:hint="eastAsia" w:ascii="宋体" w:hAnsi="宋体" w:cs="宋体"/>
          <w:b/>
          <w:bCs/>
          <w:kern w:val="0"/>
          <w:szCs w:val="21"/>
        </w:rPr>
        <w:t>环境保护与卫生保洁</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3.4.1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物业管理区域内的楼梯、大厅、走廊、天台、电梯间、卫生间、公共活动场所、楼宇外墙等所有公共部位，办公区域道路、停车场（库）等所有公共场地及“门前三包”区域的日常清洁保养，负责实验室医疗垃圾的清运至医疗废物暂存间；其它垃圾等废弃物清理至中转站</w:t>
      </w:r>
      <w:r>
        <w:rPr>
          <w:rFonts w:hint="eastAsia" w:ascii="宋体" w:hAnsi="宋体" w:cs="宋体"/>
          <w:kern w:val="0"/>
          <w:szCs w:val="21"/>
          <w:lang w:eastAsia="zh-CN"/>
        </w:rPr>
        <w:t>（院区内部中转，不进入院外市政道路）</w:t>
      </w:r>
      <w:r>
        <w:rPr>
          <w:rFonts w:hint="eastAsia" w:ascii="宋体" w:hAnsi="宋体" w:cs="宋体"/>
          <w:kern w:val="0"/>
          <w:szCs w:val="21"/>
        </w:rPr>
        <w:t>。负责物业管理区域内的环境消毒、消杀工作。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3.4.2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建立环境卫生管理制度并认真落实，环卫设施齐备；实行标准化清扫保洁，由专人负责检查监督，清洁率100%。具体区域标准：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外围及周边道路：地面干净无杂物、无积水，无明显污迹、油渍；明沟、暗井内无杂物、无异味；各种标示标牌表面干净无积尘、无水印；路灯表面干净无污渍。</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叶面无积尘。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会议室、接待室：地面、墙面、干净，无灰尘、污渍；天花板、风口目视无灰尘、污渍；桌椅干净，摆放整齐、有序。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楼梯及楼梯间：梯步表面干净无污渍，防滑条（缝）干净，扶手栏杆表面干净无灰尘，防火门及闭门器表面干净无污渍，墙面、天花板无积尘、蛛网。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停车场（库）：地面干净，无杂物，无明显油渍、污渍；顶部各种管网、灯具表面干净无积尘、蛛网；墙面干净无积尘，各种指示牌表面干净有光泽；消防器材表面干净，摆放整齐；减速带表面干净无明显污迹，各种道闸表面无灰尘、缝隙无杂物。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开水间及清洁间：地面干净，无杂物、无积水，地垫摆放整齐干净，天花板干净无蛛网，灯罩表面无积尘、蛛网，墙面干净无污渍，各种物品表面干净无渍，清洁工具摆放整齐有序，室内无明显异味。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 xml:space="preserve">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 </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电器设施：灯泡、灯管、灯罩无积尘、无污迹。装饰件无积尘、无污迹；开关、插座、配电箱无积尘、无明显污迹。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垃圾桶：按指定位置摆放，桶身表面干净，无污渍无痰迹，垃圾不应超过2/3，内胆应定期清洁、消毒。</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adjustRightInd w:val="0"/>
        <w:snapToGrid w:val="0"/>
        <w:spacing w:line="360" w:lineRule="auto"/>
        <w:textAlignment w:val="baseline"/>
        <w:rPr>
          <w:rFonts w:ascii="Calibri" w:hAnsi="Calibri"/>
          <w:kern w:val="0"/>
          <w:sz w:val="24"/>
          <w:szCs w:val="22"/>
        </w:rPr>
      </w:pPr>
      <w:r>
        <w:rPr>
          <w:rFonts w:hint="eastAsia" w:ascii="Calibri" w:hAnsi="宋体" w:cs="宋体"/>
          <w:kern w:val="0"/>
          <w:szCs w:val="21"/>
        </w:rPr>
        <w:t>大楼楼顶：</w:t>
      </w:r>
      <w:r>
        <w:rPr>
          <w:rFonts w:hint="eastAsia" w:ascii="宋体" w:hAnsi="宋体" w:cs="宋体"/>
          <w:kern w:val="0"/>
          <w:szCs w:val="21"/>
        </w:rPr>
        <w:t>楼顶地面干净无杂物、无杂草，每月至少清理一次，夏季视情况增加清扫频次。</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垃圾中转站：各类垃圾设施干净卫生，垃圾桶摆放整齐，地面无垃圾，无污水外溢，房内应无明显异味，垃圾日产日清，指派专人负责垃圾中转站的整理及卫生。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设备机房、管道、指示牌：无卫生死角、无垃圾堆积，无积尘、目视无蜘蛛网、无明显污渍、无水渍；指示牌、宣传牌无灰尘、无污迹，金属件表面光亮，无痕迹。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室内和室外健身场地的日常保洁、维护及保养。</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非工作日中标人应安排保洁人员值班，对中标人的有人加班区域及值班室进行日常保洁，并定时更换值班室床单被罩。</w:t>
      </w:r>
    </w:p>
    <w:p>
      <w:pPr>
        <w:autoSpaceDE w:val="0"/>
        <w:autoSpaceDN w:val="0"/>
        <w:adjustRightInd w:val="0"/>
        <w:spacing w:line="360" w:lineRule="atLeast"/>
        <w:jc w:val="left"/>
        <w:textAlignment w:val="baseline"/>
        <w:rPr>
          <w:rFonts w:ascii="宋体" w:hAnsi="Calibri"/>
          <w:kern w:val="0"/>
          <w:sz w:val="24"/>
          <w:szCs w:val="22"/>
        </w:rPr>
      </w:pPr>
      <w:r>
        <w:rPr>
          <w:rFonts w:hint="eastAsia" w:ascii="宋体" w:hAnsi="宋体" w:cs="宋体"/>
          <w:kern w:val="0"/>
          <w:szCs w:val="21"/>
        </w:rPr>
        <w:t>值班室：负责为采购人值班室定期更换床单被套，并送洗被更换的床单被套。</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.5</w:t>
      </w:r>
      <w:r>
        <w:rPr>
          <w:rFonts w:hint="eastAsia" w:ascii="宋体" w:hAnsi="宋体" w:cs="宋体"/>
          <w:b/>
          <w:bCs/>
          <w:kern w:val="0"/>
          <w:szCs w:val="21"/>
        </w:rPr>
        <w:t>消防监控室值守</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3.5.1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根据采购人要求负责采购人消防监控室值守工作，做好安防、消防安全防范方案和应急措施。</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3.5.2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中标人消防监控室值守人员必须按照行业标准，持</w:t>
      </w:r>
      <w:r>
        <w:rPr>
          <w:rFonts w:hint="eastAsia" w:ascii="宋体" w:hAnsi="宋体" w:cs="宋体"/>
          <w:szCs w:val="21"/>
        </w:rPr>
        <w:t>中级或以上消防设施操作员证书</w:t>
      </w:r>
      <w:r>
        <w:rPr>
          <w:rFonts w:hint="eastAsia"/>
          <w:lang w:eastAsia="zh-CN"/>
        </w:rPr>
        <w:t>或</w:t>
      </w:r>
      <w:r>
        <w:rPr>
          <w:rFonts w:hint="eastAsia"/>
        </w:rPr>
        <w:t>建（构）筑物消防员证书</w:t>
      </w:r>
      <w:r>
        <w:rPr>
          <w:rFonts w:hint="eastAsia" w:ascii="宋体" w:hAnsi="宋体" w:cs="宋体"/>
          <w:kern w:val="0"/>
          <w:szCs w:val="21"/>
        </w:rPr>
        <w:t>上岗，能够熟练使用及操作消防设备。</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须配合采购人做好区域内的防火、防盗、预防自然灾害、紧急事件的应对及处理等各项安全防范工作，做好各类消防应急事件的应对及处理等各项安全防范工作。对采购人区域内存在的和可能导致的不安全隐患及时提出整改建议，并积极配合采购人改进和解决。</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根据政策法规的要求，中标人需提供消防监控室每班值班人员不少于</w:t>
      </w:r>
      <w:r>
        <w:rPr>
          <w:rFonts w:hint="eastAsia" w:ascii="宋体" w:hAnsi="宋体" w:cs="宋体"/>
          <w:kern w:val="0"/>
          <w:szCs w:val="21"/>
          <w:lang w:eastAsia="zh"/>
        </w:rPr>
        <w:t>2</w:t>
      </w:r>
      <w:r>
        <w:rPr>
          <w:rFonts w:hint="eastAsia" w:ascii="宋体" w:hAnsi="宋体" w:cs="宋体"/>
          <w:kern w:val="0"/>
          <w:szCs w:val="21"/>
        </w:rPr>
        <w:t>人，进行24小时二人值守。</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中标人应加强对楼内公共区域、办公区域、实验室、变配电室、危化品储存间气体报警主机及监控点位显示画面、锅炉房、财务室门外区域等重点部位的巡查与安全防范。</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中标人应督促并保证其值班人员遵守国家法律、法规，遵守采购人的各项规章制度，如有任何违反而造成的损害及赔偿等，则由中标人承担全部责任。</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监督并保证其值班人员严格按照经采购人审核同意的服务标准、工作流程、岗位职责进行工作；必须严守岗位，不得脱岗、漏岗；值班期间严禁发生睡觉、喝酒、玩手机等影响正常工作的行为，不得在消防监控室内会客。</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中标人应督促其值班人员当班时统一着中标人公司制服，着装干净整洁，佩戴上岗证，注意文明礼貌，积极维护采购人的单位形象和单位信誉。</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中标人应确保在遇到突发事件时，能及时反应并在第一时间进行有效处理。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中标人应与采购人的维保单位做好密切配合，及时提醒维保单位对设备进行维护保养，尤其是强制检定的器具和设施。</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其他外包单位协同合作，当采购人遇到突发事件时，必须在第一时间积极配合，参与第一时间的处置工作。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值班人员的业务指导、培训、监督及思想教育和日常的行政管理工作。值班人员应具备高度责任心，认真学习安全法律法规，消防法律法规，消防专业知识；学习安防监控专业知识，熟练使用电脑，会调取监控录像，掌握监控设备的性能及操作规程；熟练掌握消防设备的性能及操作规程；遇有报警要按规定迅速、准确处置现场，并做好记录，遇有重大情况要及时报告；认真做好每日工作记录、交接班记录、火警记录（包括误报警）、每日防火巡查记录、每周防火巡查记录，不得漏填、乱填；严密监控安防设备和消防主机等相关设备，发现异常或故障及时联系维保单位进行维修处置，同时应及时上报采购人，确保安防设备、消防主机等设备正常运转。</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中标人应负责解决其值班人员因公致伤、亡事宜，并承担全部费用（如经过行政或司法部门处理，以行政或司法部门处理结果为准）。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中标人应承担由于其值班人员因失职给采购人或第三方造成的损害、损失的后果和责任，并赔偿采购人或第三人的损失。</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由于中标人值班人员的非职务行为给采购人或第三人造成的损害、损失以及由此所带来的一切后果及损失由责任人自己或中标人承担，中标人协助采购人或第三人向责任人追偿。</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中标人值班人员要爱护并妥善保管采购人提供器材、生活用具，爱护园区设备设施及花草树木，一切由中标人造成的非正常损坏须照价赔偿；中标人值班人员要时刻保持消防控制室的清洁、卫生。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中标人调动本项目值班人员时应经本项目批准，不可私自撤调值班人员它用。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中标人及中标人工作人员应当为其项目运行中获知的采购人保密信息或者关系采购人安全的信息承担保密义务。</w:t>
      </w:r>
    </w:p>
    <w:p>
      <w:pPr>
        <w:adjustRightInd w:val="0"/>
        <w:snapToGrid w:val="0"/>
        <w:spacing w:line="360" w:lineRule="auto"/>
        <w:textAlignment w:val="baseline"/>
        <w:rPr>
          <w:rFonts w:ascii="宋体" w:hAnsi="宋体" w:cs="宋体"/>
          <w:kern w:val="0"/>
          <w:szCs w:val="21"/>
          <w:lang w:val="en"/>
        </w:rPr>
      </w:pPr>
      <w:r>
        <w:rPr>
          <w:rFonts w:hint="eastAsia" w:ascii="宋体" w:hAnsi="宋体" w:cs="宋体"/>
          <w:kern w:val="0"/>
          <w:szCs w:val="21"/>
          <w:lang w:val="en"/>
        </w:rPr>
        <w:t xml:space="preserve">  </w:t>
      </w:r>
      <w:r>
        <w:rPr>
          <w:rFonts w:hint="eastAsia" w:ascii="宋体" w:hAnsi="宋体" w:cs="宋体"/>
          <w:b/>
          <w:bCs/>
          <w:kern w:val="0"/>
          <w:szCs w:val="21"/>
          <w:lang w:val="en"/>
        </w:rPr>
        <w:t xml:space="preserve">  </w:t>
      </w:r>
      <w:r>
        <w:rPr>
          <w:rFonts w:hint="eastAsia" w:ascii="宋体" w:hAnsi="宋体" w:cs="宋体"/>
          <w:b/>
          <w:bCs/>
          <w:kern w:val="0"/>
          <w:szCs w:val="21"/>
        </w:rPr>
        <w:t>3</w:t>
      </w:r>
      <w:r>
        <w:rPr>
          <w:rFonts w:hint="eastAsia" w:ascii="宋体" w:hAnsi="宋体" w:cs="宋体"/>
          <w:b/>
          <w:bCs/>
          <w:kern w:val="0"/>
          <w:szCs w:val="21"/>
          <w:lang w:val="en"/>
        </w:rPr>
        <w:t>.6</w:t>
      </w:r>
      <w:r>
        <w:rPr>
          <w:rFonts w:hint="eastAsia" w:ascii="宋体" w:hAnsi="宋体" w:cs="宋体"/>
          <w:b/>
          <w:bCs/>
          <w:kern w:val="0"/>
          <w:szCs w:val="21"/>
        </w:rPr>
        <w:t>变配电室值守</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3.6.1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根据采购人的要求，负责采购人变配电室值班工作，做好变配电安全防范方案和应急措施。</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3.6.2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中标人变配电室值守人员必须能够熟练使用及操作各种配电设备，做好巡查和交接班记录，配合变配电维保单位做好维保工作。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须配合采购人做好区域内的防火、防盗、预防自然灾害、紧急事件的应对及处理等各项安全防范工作，做好各类变配电应急事件的应对及处理等各项安全防范工作。对采购人区域内存在的和可能导致的不安全隐患及时提出整改建议，并积极配合采购人改进和解决。</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根据政策法规要求，中标人需提供变配电室每班值班人员不少于2人，进行 24 小时二人值守。</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变配电室工作人员应每日对高压配电柜、变压器、信号直流屏、电容补偿柜、低压负荷、室内照明、安全工器具、各建筑强电间配电柜运行等内容进行三次巡查，对出现问题的设备设施进行维修，确保管理区域内设施设备能正常运行和使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中标人应督促并保证其值班人员遵守国家法律、法规，遵守采购人的各项规章制度，如有任何违反而造成的损害及赔偿等，则由中标人承担全部责任。</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监督并保证其值班人员严格按照经采购人审核同意的服务标准、工作流程、岗位职责进行工作；必须严守岗位，不得脱岗、漏岗；值班期间严禁发生睡觉、喝酒、玩手机等影响正常工作的行为，不得在变配电室会客。</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中标人应督促其值班人员当班时统一着中标人公司制服，着装干净整洁，佩戴上岗证，注意文明礼貌，积极维护采购人的企业形象和企业信誉。</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中标人应确保在遇到突发事件时，能及时反应并在第一时间进行有效处理。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中标人应与采购人的维保单位做好密切配合，及时提醒维保单位对设备进行维护保养，尤其是强制检定的器具和设施。</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其他外包单位协同合作，当采购人遇到突发事件时，必须在第一时间积极配合，参与第一时间的处置工作。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值班人员的业务指导、培训、监督及思想教育和日常的行政管理工作。值班人员应具备高度责任心，认真学习安全法律法规，变配电法律法规，变配电专业知识；学习变配电操作专业知识，熟练掌握变配电设备的性能及操作规程；遇有紧急情况要按规定迅速、准确处置，并做好记录，遇有重大情况要及时报告；认真做好每日工作记录、交接班记录，不得漏填、乱填；严密监控变配电室各种设备，发现异常或故障及时联系维保单位进行维修处置，同时应及时上报采购人，确保各种变配电设施设备正常运转。</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中标人应负责解决其值班人员因公致伤、亡事宜，并承担全部费用（如经过行政或司法部门处理，以行政或司法部门处理结果为准）。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中标人应承担由于其值班人员因失职给采购人或第三方造成的损害、损失的后果和责任，并赔偿采购人或第三人的损失。</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由于中标人值班人员的非职务行为给采购人或第三人造成的损害、损失以及由此所带来的一切后果及损失由责任人自己或中标人承担，中标人协助采购人或第三人向责任人追偿。</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中标人值班人员要爱护并妥善保管采购人提供器材、生活用具，爱护园区设备设施及花草树木，一切由中标人造成的非正常损坏须照价赔偿；中标人值班人员要时刻保持变配电值班室的清洁、卫生。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中标人调动本项目值班人员时应经本项目批准，不可私自撤调值班人员它用。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中标人及中标人工作人员应当为其项目运行中获知的采购人保密信息或者关系采购人安全的信息承担保密义务。</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3.7锅炉房值守</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3.7.1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根据采购人要求负责采购人锅炉房值班工作，做好锅炉房安全防范方案和应急措施。</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3.7.2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ascii="宋体" w:hAnsi="宋体" w:cs="宋体"/>
          <w:kern w:val="0"/>
          <w:szCs w:val="21"/>
        </w:rPr>
        <w:t>中标人</w:t>
      </w:r>
      <w:r>
        <w:rPr>
          <w:rFonts w:hint="eastAsia" w:ascii="宋体" w:hAnsi="宋体" w:cs="宋体"/>
          <w:kern w:val="0"/>
          <w:szCs w:val="21"/>
        </w:rPr>
        <w:t>锅炉房值守人员必须能够熟练使用及操作锅炉设备，做好巡查设备和交接班，锅炉房外的管线和供热设备每日不低于两次巡检。配合锅炉维保单位做好维保工作。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须配合采购人做好区域内的防火、防盗、预防自然灾害、紧急事件的应对及处理等各项安全防范工作，做好各类锅炉房应急事件的应对及处理等各项安全防范工作。对采购人区域内存在的和可能导致的不安全隐患及时提出整改建议，并积极配合采购人改进和解决。</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根据工作的需要，锅炉房值班人员工作时间为 自合同起始时间至2026年3月31日、2026年11月1日至合同截止时间。中标人在工作时间段内需提供锅炉房每班值班人员不少于2人，进行 24 小时二人值守。</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中标人应保证向采购人提供高质量的锅炉房值班服务，发现问题，及时上报。</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中标人应加强对管理区域内的热力管线进行巡查与安全防范，确保管理区域供暖设施正常运行。</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中标人应督促并保证其值班人员遵守国家法律、法规，遵守采购人的各项规章制度，如有任何违反而造成的损害及赔偿等，则由中标人承担全部责任。</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监督并保证其值班人员严格按照经采购人审核同意的服务标准、工作流程、岗位职责进行工作；必须严守岗位，不得脱岗、漏岗；值班期间严禁发生睡觉、喝酒、玩手机等影响正常工作的行为，不得在锅炉房会客。</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中标人应督促其值班人员当班时统一着中标人公司制服，着装干净整洁，佩戴上岗证，注意文明礼貌，积极维护采购人的企业形象和企业信誉。</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中标人应确保在遇到突发事件时，能及时反应并在第一时间进行有效处理。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中标人应与采购人的维保单位做好密切配合，及时提醒维保单位对设备进行维护保养，尤其是强制鉴定的器具和设施。</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中标人应配合采购人监督维保单位的服务质量，发现未按照合同约定时间进行维护保养需及时提醒维保单位并告知采购人。</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其他外包单位协同合作，当采购人遇到突发事件时，必须在第一时间积极配合，参与第一时间的处置工作。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中标人应负责值班人员的业务指导、培训、监督及思想教育和日常的行政管理工作。值班人员应具备高度责任心，认真学习锅炉相关法律法规，锅炉专业知识；掌握锅炉房设备的性能及操作规程； 熟练掌握锅炉设备的性能及操作规程；遇有紧急情况要按规定迅速、准确处置，并做好记录，遇有重大情况要及时报告；认真做好每日工作记录、交接班记录，不得漏填、乱填；严密监控锅炉房各种设施设备，发现异常或故障及时联系维保单位进行维修处置，同时应及时上报采购人，确保锅炉设备正常运转。</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中标人应负责解决其值班人员因公致伤、亡事宜，并承担全部费用（如经过行政或司法部门处理，以行政或司法部门处理结果为准）。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中标人应承担由于其值班人员因失职给采购人或第三方造成的损害、损失的后果和责任，并赔偿采购人或第三人的损失。</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由于中标人值班人员的非职务行为给采购人或第三人造成的损害、损失以及由此所带来的一切后果及损失由责任人自己或中标人承担，中标人协助采购人或第三人向责任人追偿。</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中标人值班人员要爱护并妥善保管采购人提供的器材、生活用具，爱护园区设备设施及花草树木，一切由中标人造成的非正常损坏须照价赔偿；中标人值班人员要时刻保持锅炉房的清洁、卫生。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中标人调动本项目值班人员时应经本项目批准，不可私自撤调值班人员它用。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中标人及中标人工作人员应当为其项目运行中获知的采购人保密信息或者关系采购人安全的信息承担保密义务。</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w:t>
      </w:r>
      <w:r>
        <w:rPr>
          <w:rFonts w:hint="eastAsia" w:ascii="宋体" w:hAnsi="宋体" w:cs="宋体"/>
          <w:b/>
          <w:bCs/>
          <w:kern w:val="0"/>
          <w:szCs w:val="21"/>
        </w:rPr>
        <w:t>9前台接待</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3.9.1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对物业管理区域的来访客人做好接待、登记、引导工作，以及快递、杂志、报刊等分类、分发、登记工作。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3.9.2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遵守采购人的各项规章制度，品行端正，礼貌待人。负责做好本岗的卫生和清洁工作。服从上级领导,完成交办的各项工作任务。</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.1</w:t>
      </w:r>
      <w:r>
        <w:rPr>
          <w:rFonts w:hint="eastAsia" w:ascii="宋体" w:hAnsi="宋体" w:cs="宋体"/>
          <w:b/>
          <w:bCs/>
          <w:kern w:val="0"/>
          <w:szCs w:val="21"/>
        </w:rPr>
        <w:t>0实验器具洗刷</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3.10.1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对采购人特定区域内涉及检验工作的玻璃器皿洗刷工作。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3.10.2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洗刷工岗前要通过专业培训，经采购人认可后方可上岗。</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中标人应遵循采购人制度要求进行规范操作，以保证洗刷后的器皿清洁干净、不挂壁。绝对不能出现因洗刷质量达不到要求而影响实验结果。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中标人要保证服务期内服务人员的稳定性，未经采购人同意，不允许私自更换人员。</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工作主要服务于材料一室、材料三室。工作时间为早8:30至16:30，有指定工作场所，采购人提供工作服。</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.1</w:t>
      </w:r>
      <w:r>
        <w:rPr>
          <w:rFonts w:hint="eastAsia" w:ascii="宋体" w:hAnsi="宋体" w:cs="宋体"/>
          <w:b/>
          <w:bCs/>
          <w:kern w:val="0"/>
          <w:szCs w:val="21"/>
        </w:rPr>
        <w:t>1排污管道及垃圾清运</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3.11.1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对物业管理区域内的排污管道进行定期巡检，以及将各类垃圾清运至院区垃圾站。</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3.11.2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每月检查一次室内外排污管道的疏通情况，遇管道堵塞随叫随到。</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保证每天及时对各类垃圾（不包含建筑垃圾）进行清理，按照垃圾分类原则进行分类处理，确保各类垃圾日产日清，不积压，不拖期。</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爱护垃圾存放设备，不对第三方财产、环境造成损害，如有损坏或损失照价赔偿。</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协助采购人化粪池的定期清理，不发生淤堵现象。</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.1</w:t>
      </w:r>
      <w:r>
        <w:rPr>
          <w:rFonts w:hint="eastAsia" w:ascii="宋体" w:hAnsi="宋体" w:cs="宋体"/>
          <w:b/>
          <w:bCs/>
          <w:kern w:val="0"/>
          <w:szCs w:val="21"/>
        </w:rPr>
        <w:t>2二次供水设施维护保养</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3.12.1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对物业管理区域内的二次供水泵房巡视维护工作。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3.12.2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每周对水泵房巡检一次，检查各类设备的运行情况，发现问题及时报采购人维修。</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每月对水泵房完成2次卫生保洁工作。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对管路系统，设备外观每年除锈一次，刷漆一次。</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协助采购人对用水设施进行各类检验检测。</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kern w:val="0"/>
          <w:szCs w:val="21"/>
          <w:lang w:val="en"/>
        </w:rPr>
        <w:t>.1</w:t>
      </w:r>
      <w:r>
        <w:rPr>
          <w:rFonts w:hint="eastAsia" w:ascii="宋体" w:hAnsi="宋体" w:cs="宋体"/>
          <w:b/>
          <w:bCs/>
          <w:kern w:val="0"/>
          <w:szCs w:val="21"/>
        </w:rPr>
        <w:t>3绿化养护</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3.13.1</w:t>
      </w:r>
      <w:r>
        <w:rPr>
          <w:rFonts w:hint="eastAsia" w:ascii="宋体" w:hAnsi="宋体" w:cs="宋体"/>
          <w:kern w:val="0"/>
          <w:szCs w:val="21"/>
        </w:rPr>
        <w:t>服务内容：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对物业管理区域内的树木、花草、绿地等的日常养护和管理工作。</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3.13.2</w:t>
      </w:r>
      <w:r>
        <w:rPr>
          <w:rFonts w:hint="eastAsia" w:ascii="宋体" w:hAnsi="宋体" w:cs="宋体"/>
          <w:kern w:val="0"/>
          <w:szCs w:val="21"/>
        </w:rPr>
        <w:t>服务标准：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花草树木生长正常，修剪及时，叶面干净，具有光泽，无积尘，无枯枝 败叶，无病虫害，无杂草。室外绿化养护应达到绿地及花坛内各种植物存活率100％。绿地设施完好无损。植物群落完整，层次丰富，黄土不外露，有整体的观赏效果。植物季相分明，生长茂盛；草坪保持平整，高度不超过8厘米，草屑及时清理；乔木修剪科学合理，剪口光滑整齐，树冠完整美观，无徒长枝、下垂枝、枯枝，内膛不乱，通风透光；绿篱修剪整齐有型，保持观赏面枝叶丰满。花灌木花后修剪及时，无残花；绿地内立视应无明显杂草，土壤疏松通透；春、夏、秋三季，每半个月喷农药一次，草皮无病斑，植物枝叶无虫害咬口、排泄物、无悬挂或依附在植物上的虫茧、休眠虫体及越冬虫蛹；绿地内无垃圾，乔木无树挂；绿地无破坏、践踏及随意占用现象。</w:t>
      </w:r>
    </w:p>
    <w:p>
      <w:pPr>
        <w:snapToGrid w:val="0"/>
        <w:spacing w:line="360" w:lineRule="auto"/>
        <w:rPr>
          <w:rFonts w:ascii="宋体" w:hAnsi="宋体" w:cs="宋体"/>
          <w:b/>
          <w:bCs/>
          <w:szCs w:val="21"/>
        </w:rPr>
      </w:pPr>
      <w:r>
        <w:rPr>
          <w:rFonts w:hint="eastAsia" w:ascii="宋体" w:hAnsi="宋体" w:cs="宋体"/>
          <w:b/>
          <w:bCs/>
          <w:szCs w:val="21"/>
        </w:rPr>
        <w:t>3</w:t>
      </w:r>
      <w:r>
        <w:rPr>
          <w:rFonts w:hint="eastAsia" w:ascii="宋体" w:hAnsi="宋体" w:cs="宋体"/>
          <w:b/>
          <w:bCs/>
          <w:szCs w:val="21"/>
          <w:lang w:val="en"/>
        </w:rPr>
        <w:t>.1</w:t>
      </w:r>
      <w:r>
        <w:rPr>
          <w:rFonts w:hint="eastAsia" w:ascii="宋体" w:hAnsi="宋体" w:cs="宋体"/>
          <w:b/>
          <w:bCs/>
          <w:szCs w:val="21"/>
        </w:rPr>
        <w:t>4公共会议室会务</w:t>
      </w:r>
    </w:p>
    <w:p>
      <w:pPr>
        <w:spacing w:line="360" w:lineRule="auto"/>
        <w:rPr>
          <w:rFonts w:ascii="宋体" w:hAnsi="宋体" w:cs="宋体"/>
          <w:b/>
          <w:bCs/>
          <w:szCs w:val="21"/>
        </w:rPr>
      </w:pPr>
      <w:r>
        <w:rPr>
          <w:rFonts w:hint="eastAsia" w:ascii="宋体" w:hAnsi="宋体" w:cs="宋体"/>
          <w:b/>
          <w:bCs/>
          <w:szCs w:val="21"/>
        </w:rPr>
        <w:t>3.14.1</w:t>
      </w:r>
      <w:r>
        <w:rPr>
          <w:rFonts w:hint="eastAsia" w:ascii="宋体" w:hAnsi="宋体" w:cs="宋体"/>
          <w:szCs w:val="21"/>
        </w:rPr>
        <w:t>服务内容：</w:t>
      </w:r>
    </w:p>
    <w:p>
      <w:pPr>
        <w:spacing w:line="360" w:lineRule="auto"/>
        <w:rPr>
          <w:rFonts w:ascii="宋体" w:hAnsi="宋体" w:cs="宋体"/>
          <w:szCs w:val="21"/>
        </w:rPr>
      </w:pPr>
      <w:r>
        <w:rPr>
          <w:rFonts w:hint="eastAsia" w:ascii="宋体" w:hAnsi="宋体" w:cs="宋体"/>
          <w:szCs w:val="21"/>
        </w:rPr>
        <w:t>公共会议室的日常服务工作。</w:t>
      </w:r>
    </w:p>
    <w:p>
      <w:pPr>
        <w:snapToGrid w:val="0"/>
        <w:spacing w:line="360" w:lineRule="auto"/>
      </w:pPr>
      <w:r>
        <w:rPr>
          <w:rFonts w:hint="eastAsia" w:ascii="宋体" w:hAnsi="宋体" w:cs="宋体"/>
          <w:b/>
          <w:bCs/>
          <w:szCs w:val="21"/>
        </w:rPr>
        <w:t>3.14.2</w:t>
      </w:r>
      <w:r>
        <w:rPr>
          <w:rFonts w:hint="eastAsia" w:ascii="宋体" w:hAnsi="宋体" w:cs="宋体"/>
          <w:szCs w:val="21"/>
        </w:rPr>
        <w:t>服务标准：</w:t>
      </w:r>
    </w:p>
    <w:p>
      <w:pPr>
        <w:snapToGrid w:val="0"/>
        <w:spacing w:line="360" w:lineRule="auto"/>
        <w:rPr>
          <w:rFonts w:ascii="宋体" w:hAnsi="宋体" w:cs="宋体"/>
          <w:szCs w:val="21"/>
        </w:rPr>
      </w:pPr>
      <w:r>
        <w:rPr>
          <w:rFonts w:hint="eastAsia" w:ascii="宋体" w:hAnsi="宋体" w:cs="宋体"/>
          <w:szCs w:val="21"/>
        </w:rPr>
        <w:t>负责</w:t>
      </w:r>
      <w:r>
        <w:rPr>
          <w:rFonts w:ascii="宋体" w:hAnsi="宋体" w:cs="宋体"/>
          <w:szCs w:val="21"/>
        </w:rPr>
        <w:t>收集和整理</w:t>
      </w:r>
      <w:r>
        <w:rPr>
          <w:rFonts w:hint="eastAsia" w:ascii="宋体" w:hAnsi="宋体" w:cs="宋体"/>
          <w:szCs w:val="21"/>
        </w:rPr>
        <w:t>各类</w:t>
      </w:r>
      <w:r>
        <w:rPr>
          <w:rFonts w:ascii="宋体" w:hAnsi="宋体" w:cs="宋体"/>
          <w:szCs w:val="21"/>
        </w:rPr>
        <w:t>会议所需的资料，如议程、讲义、名片等</w:t>
      </w:r>
      <w:r>
        <w:rPr>
          <w:rFonts w:hint="eastAsia" w:ascii="宋体" w:hAnsi="宋体" w:cs="宋体"/>
          <w:szCs w:val="21"/>
        </w:rPr>
        <w:t>。</w:t>
      </w:r>
    </w:p>
    <w:p>
      <w:pPr>
        <w:snapToGrid w:val="0"/>
        <w:spacing w:line="360" w:lineRule="auto"/>
        <w:rPr>
          <w:rFonts w:ascii="宋体" w:hAnsi="宋体" w:cs="宋体"/>
          <w:szCs w:val="21"/>
        </w:rPr>
      </w:pPr>
      <w:r>
        <w:rPr>
          <w:rFonts w:ascii="宋体" w:hAnsi="宋体" w:cs="宋体"/>
          <w:szCs w:val="21"/>
        </w:rPr>
        <w:t>根据</w:t>
      </w:r>
      <w:r>
        <w:rPr>
          <w:rFonts w:hint="eastAsia" w:ascii="宋体" w:hAnsi="宋体" w:cs="宋体"/>
          <w:szCs w:val="21"/>
        </w:rPr>
        <w:t>各类</w:t>
      </w:r>
      <w:r>
        <w:rPr>
          <w:rFonts w:ascii="宋体" w:hAnsi="宋体" w:cs="宋体"/>
          <w:szCs w:val="21"/>
        </w:rPr>
        <w:t>会议</w:t>
      </w:r>
      <w:r>
        <w:rPr>
          <w:rFonts w:hint="eastAsia" w:ascii="宋体" w:hAnsi="宋体" w:cs="宋体"/>
          <w:szCs w:val="21"/>
        </w:rPr>
        <w:t>的</w:t>
      </w:r>
      <w:r>
        <w:rPr>
          <w:rFonts w:ascii="宋体" w:hAnsi="宋体" w:cs="宋体"/>
          <w:szCs w:val="21"/>
        </w:rPr>
        <w:t>规模和需求，了解会议的基本信息，如参会人数、会议议程等，以便提供针对性服务</w:t>
      </w:r>
      <w:r>
        <w:rPr>
          <w:rFonts w:hint="eastAsia" w:ascii="宋体" w:hAnsi="宋体" w:cs="宋体"/>
          <w:szCs w:val="21"/>
        </w:rPr>
        <w:t>，</w:t>
      </w:r>
      <w:r>
        <w:rPr>
          <w:rFonts w:ascii="宋体" w:hAnsi="宋体" w:cs="宋体"/>
          <w:szCs w:val="21"/>
        </w:rPr>
        <w:t>预定合适的会议室</w:t>
      </w:r>
      <w:r>
        <w:rPr>
          <w:rFonts w:hint="eastAsia" w:ascii="宋体" w:hAnsi="宋体" w:cs="宋体"/>
          <w:szCs w:val="21"/>
        </w:rPr>
        <w:t>。</w:t>
      </w:r>
    </w:p>
    <w:p>
      <w:pPr>
        <w:snapToGrid w:val="0"/>
        <w:spacing w:line="360" w:lineRule="auto"/>
        <w:rPr>
          <w:rFonts w:ascii="宋体" w:hAnsi="宋体" w:cs="宋体"/>
          <w:szCs w:val="21"/>
        </w:rPr>
      </w:pPr>
      <w:r>
        <w:rPr>
          <w:rFonts w:ascii="宋体" w:hAnsi="宋体" w:cs="宋体"/>
          <w:szCs w:val="21"/>
        </w:rPr>
        <w:t>根据会议</w:t>
      </w:r>
      <w:r>
        <w:rPr>
          <w:rFonts w:hint="eastAsia" w:ascii="宋体" w:hAnsi="宋体" w:cs="宋体"/>
          <w:szCs w:val="21"/>
        </w:rPr>
        <w:t>的</w:t>
      </w:r>
      <w:r>
        <w:rPr>
          <w:rFonts w:ascii="宋体" w:hAnsi="宋体" w:cs="宋体"/>
          <w:szCs w:val="21"/>
        </w:rPr>
        <w:t>要求，摆放</w:t>
      </w:r>
      <w:r>
        <w:rPr>
          <w:rFonts w:hint="eastAsia" w:ascii="宋体" w:hAnsi="宋体" w:cs="宋体"/>
          <w:szCs w:val="21"/>
        </w:rPr>
        <w:t>好会场的</w:t>
      </w:r>
      <w:r>
        <w:rPr>
          <w:rFonts w:ascii="宋体" w:hAnsi="宋体" w:cs="宋体"/>
          <w:szCs w:val="21"/>
        </w:rPr>
        <w:t>桌椅等物品，重要会议还需准备电子显示屏、礼仪、迎宾等特色服务。</w:t>
      </w:r>
    </w:p>
    <w:p>
      <w:pPr>
        <w:snapToGrid w:val="0"/>
        <w:spacing w:line="360" w:lineRule="auto"/>
        <w:rPr>
          <w:rFonts w:ascii="宋体" w:hAnsi="宋体" w:cs="宋体"/>
          <w:szCs w:val="21"/>
        </w:rPr>
      </w:pPr>
      <w:r>
        <w:rPr>
          <w:rFonts w:ascii="宋体" w:hAnsi="宋体" w:cs="宋体"/>
          <w:szCs w:val="21"/>
        </w:rPr>
        <w:t>设置签到台，准备好签到册和其他签到所需的物资。</w:t>
      </w:r>
      <w:r>
        <w:rPr>
          <w:rFonts w:hint="eastAsia" w:ascii="宋体" w:hAnsi="宋体" w:cs="宋体"/>
          <w:szCs w:val="21"/>
        </w:rPr>
        <w:t>协助采购人维护</w:t>
      </w:r>
      <w:r>
        <w:rPr>
          <w:rFonts w:ascii="宋体" w:hAnsi="宋体" w:cs="宋体"/>
          <w:szCs w:val="21"/>
        </w:rPr>
        <w:t>现场秩序</w:t>
      </w:r>
      <w:r>
        <w:rPr>
          <w:rFonts w:hint="eastAsia" w:ascii="宋体" w:hAnsi="宋体" w:cs="宋体"/>
          <w:szCs w:val="21"/>
        </w:rPr>
        <w:t>，</w:t>
      </w:r>
      <w:r>
        <w:rPr>
          <w:rFonts w:ascii="宋体" w:hAnsi="宋体" w:cs="宋体"/>
          <w:szCs w:val="21"/>
        </w:rPr>
        <w:t>保障会场的安全及正常运作。</w:t>
      </w:r>
    </w:p>
    <w:p>
      <w:pPr>
        <w:snapToGrid w:val="0"/>
        <w:spacing w:line="360" w:lineRule="auto"/>
        <w:rPr>
          <w:rFonts w:ascii="宋体" w:hAnsi="宋体" w:cs="宋体"/>
          <w:szCs w:val="21"/>
        </w:rPr>
      </w:pPr>
      <w:r>
        <w:rPr>
          <w:rFonts w:ascii="宋体" w:hAnsi="宋体" w:cs="宋体"/>
          <w:szCs w:val="21"/>
        </w:rPr>
        <w:t>提供</w:t>
      </w:r>
      <w:r>
        <w:rPr>
          <w:rFonts w:hint="eastAsia" w:ascii="宋体" w:hAnsi="宋体" w:cs="宋体"/>
          <w:szCs w:val="21"/>
        </w:rPr>
        <w:t>会议期间的</w:t>
      </w:r>
      <w:r>
        <w:rPr>
          <w:rFonts w:ascii="宋体" w:hAnsi="宋体" w:cs="宋体"/>
          <w:szCs w:val="21"/>
        </w:rPr>
        <w:t>茶水、话筒调试、投影仪操作等</w:t>
      </w:r>
      <w:r>
        <w:rPr>
          <w:rFonts w:hint="eastAsia" w:ascii="宋体" w:hAnsi="宋体" w:cs="宋体"/>
          <w:szCs w:val="21"/>
        </w:rPr>
        <w:t>各种</w:t>
      </w:r>
      <w:r>
        <w:rPr>
          <w:rFonts w:ascii="宋体" w:hAnsi="宋体" w:cs="宋体"/>
          <w:szCs w:val="21"/>
        </w:rPr>
        <w:t>服务。</w:t>
      </w:r>
    </w:p>
    <w:p>
      <w:pPr>
        <w:snapToGrid w:val="0"/>
        <w:spacing w:line="360" w:lineRule="auto"/>
        <w:rPr>
          <w:rFonts w:ascii="宋体" w:hAnsi="宋体" w:cs="宋体"/>
          <w:szCs w:val="21"/>
        </w:rPr>
      </w:pPr>
      <w:r>
        <w:rPr>
          <w:rFonts w:hint="eastAsia" w:ascii="宋体" w:hAnsi="宋体" w:cs="宋体"/>
          <w:szCs w:val="21"/>
        </w:rPr>
        <w:t>定期检查</w:t>
      </w:r>
      <w:r>
        <w:rPr>
          <w:rFonts w:ascii="宋体" w:hAnsi="宋体" w:cs="宋体"/>
          <w:szCs w:val="21"/>
        </w:rPr>
        <w:t>会议室的</w:t>
      </w:r>
      <w:r>
        <w:rPr>
          <w:rFonts w:hint="eastAsia" w:ascii="宋体" w:hAnsi="宋体" w:cs="宋体"/>
          <w:szCs w:val="21"/>
        </w:rPr>
        <w:t>各类</w:t>
      </w:r>
      <w:r>
        <w:rPr>
          <w:rFonts w:ascii="宋体" w:hAnsi="宋体" w:cs="宋体"/>
          <w:szCs w:val="21"/>
        </w:rPr>
        <w:t>设备</w:t>
      </w:r>
      <w:r>
        <w:rPr>
          <w:rFonts w:hint="eastAsia" w:ascii="宋体" w:hAnsi="宋体" w:cs="宋体"/>
          <w:szCs w:val="21"/>
        </w:rPr>
        <w:t>是否处于正常使用状态</w:t>
      </w:r>
      <w:r>
        <w:rPr>
          <w:rFonts w:ascii="宋体" w:hAnsi="宋体" w:cs="宋体"/>
          <w:szCs w:val="21"/>
        </w:rPr>
        <w:t>。</w:t>
      </w:r>
    </w:p>
    <w:p>
      <w:pPr>
        <w:snapToGrid w:val="0"/>
        <w:spacing w:line="360" w:lineRule="auto"/>
        <w:rPr>
          <w:rFonts w:ascii="宋体" w:hAnsi="宋体" w:cs="宋体"/>
          <w:szCs w:val="21"/>
        </w:rPr>
      </w:pPr>
      <w:r>
        <w:rPr>
          <w:rFonts w:ascii="宋体" w:hAnsi="宋体" w:cs="宋体"/>
          <w:szCs w:val="21"/>
        </w:rPr>
        <w:t>随时响应参会人员的其他服务需求，如设备调整、资料补充等</w:t>
      </w:r>
      <w:r>
        <w:rPr>
          <w:rFonts w:hint="eastAsia" w:ascii="宋体" w:hAnsi="宋体" w:cs="宋体"/>
          <w:szCs w:val="21"/>
        </w:rPr>
        <w:t>。</w:t>
      </w:r>
    </w:p>
    <w:p>
      <w:pPr>
        <w:snapToGrid w:val="0"/>
        <w:spacing w:line="360" w:lineRule="auto"/>
        <w:rPr>
          <w:rFonts w:ascii="宋体" w:hAnsi="宋体" w:cs="宋体"/>
          <w:szCs w:val="21"/>
        </w:rPr>
      </w:pPr>
      <w:r>
        <w:rPr>
          <w:rFonts w:ascii="宋体" w:hAnsi="宋体" w:cs="宋体"/>
          <w:szCs w:val="21"/>
        </w:rPr>
        <w:t>会后恢复会场的原始状态，清理会场垃圾</w:t>
      </w:r>
      <w:r>
        <w:rPr>
          <w:rFonts w:hint="eastAsia" w:ascii="宋体" w:hAnsi="宋体" w:cs="宋体"/>
          <w:szCs w:val="21"/>
        </w:rPr>
        <w:t>，茶具器皿的清洗消毒工作。</w:t>
      </w:r>
    </w:p>
    <w:p>
      <w:pPr>
        <w:snapToGrid w:val="0"/>
        <w:spacing w:line="360" w:lineRule="auto"/>
        <w:rPr>
          <w:rFonts w:ascii="宋体" w:hAnsi="宋体" w:cs="宋体"/>
          <w:szCs w:val="21"/>
        </w:rPr>
      </w:pPr>
      <w:r>
        <w:rPr>
          <w:rFonts w:hint="eastAsia" w:ascii="宋体" w:hAnsi="宋体" w:cs="宋体"/>
          <w:szCs w:val="21"/>
        </w:rPr>
        <w:t>负责所有会议室的日常保洁</w:t>
      </w:r>
      <w:r>
        <w:rPr>
          <w:rFonts w:ascii="宋体" w:hAnsi="宋体" w:cs="宋体"/>
          <w:szCs w:val="21"/>
        </w:rPr>
        <w:t>和维护</w:t>
      </w:r>
      <w:r>
        <w:rPr>
          <w:rFonts w:hint="eastAsia" w:ascii="宋体" w:hAnsi="宋体" w:cs="宋体"/>
          <w:szCs w:val="21"/>
        </w:rPr>
        <w:t>工作</w:t>
      </w:r>
      <w:r>
        <w:rPr>
          <w:rFonts w:ascii="宋体" w:hAnsi="宋体" w:cs="宋体"/>
          <w:szCs w:val="21"/>
        </w:rPr>
        <w:t>，定期盘点物资</w:t>
      </w:r>
      <w:r>
        <w:rPr>
          <w:rFonts w:hint="eastAsia" w:ascii="宋体" w:hAnsi="宋体" w:cs="宋体"/>
          <w:szCs w:val="21"/>
        </w:rPr>
        <w:t>。</w:t>
      </w:r>
    </w:p>
    <w:p>
      <w:pPr>
        <w:snapToGrid w:val="0"/>
        <w:spacing w:line="360" w:lineRule="auto"/>
        <w:rPr>
          <w:rFonts w:ascii="宋体" w:hAnsi="宋体" w:cs="宋体"/>
          <w:szCs w:val="21"/>
        </w:rPr>
      </w:pPr>
      <w:r>
        <w:rPr>
          <w:rFonts w:hint="eastAsia" w:ascii="宋体" w:hAnsi="宋体" w:cs="宋体"/>
          <w:szCs w:val="21"/>
        </w:rPr>
        <w:t>负责用人部门交办的其他临时性工作。</w:t>
      </w:r>
    </w:p>
    <w:p>
      <w:pPr>
        <w:adjustRightInd w:val="0"/>
        <w:snapToGrid w:val="0"/>
        <w:spacing w:line="360" w:lineRule="auto"/>
        <w:textAlignment w:val="baseline"/>
        <w:rPr>
          <w:rFonts w:ascii="宋体" w:hAnsi="宋体" w:cs="宋体"/>
          <w:kern w:val="0"/>
          <w:szCs w:val="21"/>
        </w:rPr>
      </w:pP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3.15 安全巡查</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中标人需在每个工作日的18点、21点、24点、次日7点，对采购人物业范围进行4次安全巡查；每个节假日的10点、14点、18点、21点、24点、次日7点进行6次安全巡查；巡查内容如下：</w:t>
      </w:r>
    </w:p>
    <w:tbl>
      <w:tblPr>
        <w:tblStyle w:val="3"/>
        <w:tblW w:w="8551" w:type="dxa"/>
        <w:tblCellSpacing w:w="15" w:type="dxa"/>
        <w:tblInd w:w="0" w:type="dxa"/>
        <w:tblLayout w:type="fixed"/>
        <w:tblCellMar>
          <w:top w:w="0" w:type="dxa"/>
          <w:left w:w="0" w:type="dxa"/>
          <w:bottom w:w="0" w:type="dxa"/>
          <w:right w:w="0" w:type="dxa"/>
        </w:tblCellMar>
      </w:tblPr>
      <w:tblGrid>
        <w:gridCol w:w="2223"/>
        <w:gridCol w:w="6328"/>
      </w:tblGrid>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5B9BD5"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用电安全巡视</w:t>
            </w:r>
          </w:p>
        </w:tc>
        <w:tc>
          <w:tcPr>
            <w:tcW w:w="6283" w:type="dxa"/>
            <w:tcBorders>
              <w:top w:val="single" w:color="5B9BD5"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1.1 电脑关闭情况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1.2 充电器用电情况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1.3 屋内照明灯关闭情况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1.4 实验室内24小时运行设备情况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1.5空调关闭情况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门窗关闭情况巡视</w:t>
            </w: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2.1 一层大门是否关闭（关注二期一层三个入口处的温度）</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2.2 防火门是否处于常闭状态，开启灵活</w:t>
            </w:r>
          </w:p>
        </w:tc>
      </w:tr>
      <w:tr>
        <w:tblPrEx>
          <w:tblLayout w:type="fixed"/>
          <w:tblCellMar>
            <w:top w:w="0" w:type="dxa"/>
            <w:left w:w="0" w:type="dxa"/>
            <w:bottom w:w="0" w:type="dxa"/>
            <w:right w:w="0" w:type="dxa"/>
          </w:tblCellMar>
        </w:tblPrEx>
        <w:trPr>
          <w:trHeight w:val="393"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2.3 所有窗户是否关闭</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跑冒滴漏情况巡视</w:t>
            </w: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3.1 消防管道、阀门、喷淋是否完好，有无跑冒滴漏现象</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3.2 给排水管道是否完好，有无跑冒滴漏现象</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3.3 其他可能存在液体泄漏的设施是否检查完毕</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消防设施情况</w:t>
            </w: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4.1最不利点压力值</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4.2消防泵、喷淋泵压力值</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4.3消防水池液位值</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4.4危化品储存间报警器、风机定时启动情况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室外区域</w:t>
            </w: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5.1电动自行车充电桩情况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5.2电动汽车充电桩情况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5.3危废间门口情况</w:t>
            </w:r>
          </w:p>
        </w:tc>
      </w:tr>
      <w:tr>
        <w:tblPrEx>
          <w:tblLayout w:type="fixed"/>
          <w:tblCellMar>
            <w:top w:w="0" w:type="dxa"/>
            <w:left w:w="0" w:type="dxa"/>
            <w:bottom w:w="0" w:type="dxa"/>
            <w:right w:w="0" w:type="dxa"/>
          </w:tblCellMar>
        </w:tblPrEx>
        <w:trPr>
          <w:trHeight w:val="90" w:hRule="atLeast"/>
          <w:tblCellSpacing w:w="15" w:type="dxa"/>
        </w:trPr>
        <w:tc>
          <w:tcPr>
            <w:tcW w:w="2178"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top"/>
          </w:tcPr>
          <w:p>
            <w:pPr>
              <w:adjustRightInd w:val="0"/>
              <w:snapToGrid w:val="0"/>
              <w:spacing w:line="360" w:lineRule="auto"/>
              <w:textAlignment w:val="baseline"/>
              <w:rPr>
                <w:rFonts w:ascii="宋体" w:hAnsi="宋体" w:cs="宋体"/>
                <w:kern w:val="0"/>
                <w:szCs w:val="21"/>
              </w:rPr>
            </w:pPr>
          </w:p>
        </w:tc>
        <w:tc>
          <w:tcPr>
            <w:tcW w:w="6283" w:type="dxa"/>
            <w:tcBorders>
              <w:top w:val="single" w:color="BDD6EE" w:sz="6" w:space="0"/>
              <w:left w:val="single" w:color="BDD6EE" w:sz="6" w:space="0"/>
              <w:bottom w:val="single" w:color="BDD6EE" w:sz="6" w:space="0"/>
              <w:right w:val="single" w:color="BDD6EE" w:sz="6" w:space="0"/>
            </w:tcBorders>
            <w:shd w:val="clear" w:color="auto" w:fill="FFFFFF"/>
            <w:noWrap w:val="0"/>
            <w:tcMar>
              <w:top w:w="100" w:type="dxa"/>
              <w:left w:w="200" w:type="dxa"/>
              <w:bottom w:w="100" w:type="dxa"/>
              <w:right w:w="200" w:type="dxa"/>
            </w:tcMar>
            <w:vAlign w:val="center"/>
          </w:tcPr>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5.4气瓶间情况</w:t>
            </w:r>
          </w:p>
        </w:tc>
      </w:tr>
    </w:tbl>
    <w:p>
      <w:pPr>
        <w:autoSpaceDE w:val="0"/>
        <w:autoSpaceDN w:val="0"/>
        <w:adjustRightInd w:val="0"/>
        <w:spacing w:line="360" w:lineRule="atLeast"/>
        <w:jc w:val="left"/>
        <w:textAlignment w:val="baseline"/>
        <w:rPr>
          <w:rFonts w:ascii="宋体" w:hAnsi="Calibri"/>
          <w:kern w:val="0"/>
          <w:sz w:val="24"/>
          <w:szCs w:val="22"/>
        </w:rPr>
      </w:pPr>
    </w:p>
    <w:p>
      <w:pPr>
        <w:autoSpaceDE w:val="0"/>
        <w:autoSpaceDN w:val="0"/>
        <w:adjustRightInd w:val="0"/>
        <w:spacing w:line="360" w:lineRule="atLeast"/>
        <w:jc w:val="left"/>
        <w:textAlignment w:val="baseline"/>
        <w:rPr>
          <w:rFonts w:ascii="宋体" w:hAnsi="宋体" w:cs="宋体"/>
          <w:kern w:val="0"/>
          <w:szCs w:val="21"/>
        </w:rPr>
      </w:pPr>
    </w:p>
    <w:p>
      <w:pPr>
        <w:autoSpaceDE w:val="0"/>
        <w:autoSpaceDN w:val="0"/>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每周组织一次防火检查，检查内容如下：</w:t>
      </w:r>
    </w:p>
    <w:p>
      <w:pPr>
        <w:autoSpaceDE w:val="0"/>
        <w:autoSpaceDN w:val="0"/>
        <w:adjustRightInd w:val="0"/>
        <w:spacing w:line="360" w:lineRule="atLeast"/>
        <w:jc w:val="left"/>
        <w:textAlignment w:val="baseline"/>
        <w:rPr>
          <w:rFonts w:ascii="宋体" w:hAnsi="宋体" w:cs="宋体"/>
          <w:kern w:val="0"/>
          <w:szCs w:val="21"/>
        </w:rPr>
      </w:pPr>
    </w:p>
    <w:tbl>
      <w:tblPr>
        <w:tblStyle w:val="3"/>
        <w:tblW w:w="7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center"/>
              <w:textAlignment w:val="baseline"/>
              <w:rPr>
                <w:rFonts w:ascii="宋体" w:hAnsi="宋体" w:cs="宋体"/>
                <w:kern w:val="0"/>
                <w:szCs w:val="21"/>
              </w:rPr>
            </w:pPr>
            <w:r>
              <w:rPr>
                <w:rFonts w:hint="eastAsia" w:ascii="宋体" w:hAnsi="宋体" w:cs="宋体"/>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消防通道是否占用、堵塞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消防泵房管网控制阀是否处于开启状态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消防水泵及控制柜是否处于自动状态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灭火器是否完好有效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消防电话组件是否完好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室内消火栓、消防水带、起泵按钮组件是否完好有效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用火、用电有无违章情况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火灾自动报警系统控制开关是否处于自动状态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778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tLeast"/>
              <w:jc w:val="left"/>
              <w:textAlignment w:val="baseline"/>
              <w:rPr>
                <w:rFonts w:ascii="宋体" w:hAnsi="宋体" w:cs="宋体"/>
                <w:kern w:val="0"/>
                <w:szCs w:val="21"/>
              </w:rPr>
            </w:pPr>
            <w:r>
              <w:rPr>
                <w:rFonts w:hint="eastAsia" w:ascii="宋体" w:hAnsi="宋体" w:cs="宋体"/>
                <w:kern w:val="0"/>
                <w:szCs w:val="21"/>
              </w:rPr>
              <w:t>火灾报警探测器、手动报警按钮组件是否完好</w:t>
            </w:r>
          </w:p>
        </w:tc>
      </w:tr>
    </w:tbl>
    <w:p>
      <w:pPr>
        <w:adjustRightInd w:val="0"/>
        <w:snapToGrid w:val="0"/>
        <w:spacing w:line="360" w:lineRule="auto"/>
        <w:textAlignment w:val="baseline"/>
        <w:rPr>
          <w:rFonts w:ascii="宋体" w:hAnsi="宋体" w:cs="宋体"/>
          <w:b/>
          <w:bCs/>
          <w:kern w:val="0"/>
          <w:szCs w:val="21"/>
        </w:rPr>
      </w:pPr>
    </w:p>
    <w:p>
      <w:pPr>
        <w:adjustRightInd w:val="0"/>
        <w:snapToGrid w:val="0"/>
        <w:spacing w:line="400" w:lineRule="exact"/>
        <w:ind w:firstLine="422" w:firstLineChars="200"/>
        <w:jc w:val="left"/>
        <w:textAlignment w:val="baseline"/>
        <w:rPr>
          <w:rFonts w:ascii="宋体" w:hAnsi="宋体"/>
          <w:kern w:val="0"/>
          <w:szCs w:val="21"/>
        </w:rPr>
      </w:pPr>
      <w:r>
        <w:rPr>
          <w:rFonts w:hint="eastAsia" w:ascii="宋体" w:hAnsi="宋体" w:cs="宋体"/>
          <w:b/>
          <w:bCs/>
          <w:kern w:val="0"/>
          <w:szCs w:val="21"/>
        </w:rPr>
        <w:t>3.16</w:t>
      </w:r>
      <w:r>
        <w:rPr>
          <w:rFonts w:ascii="宋体" w:hAnsi="宋体"/>
          <w:kern w:val="0"/>
          <w:szCs w:val="21"/>
        </w:rPr>
        <w:t>节能管理：投标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adjustRightInd w:val="0"/>
        <w:snapToGrid w:val="0"/>
        <w:spacing w:line="400" w:lineRule="exact"/>
        <w:ind w:firstLine="422" w:firstLineChars="200"/>
        <w:jc w:val="left"/>
        <w:textAlignment w:val="baseline"/>
        <w:rPr>
          <w:rFonts w:ascii="宋体" w:hAnsi="宋体"/>
          <w:kern w:val="0"/>
          <w:szCs w:val="21"/>
        </w:rPr>
      </w:pPr>
      <w:r>
        <w:rPr>
          <w:rFonts w:hint="eastAsia" w:ascii="宋体" w:hAnsi="宋体" w:cs="宋体"/>
          <w:b/>
          <w:bCs/>
          <w:kern w:val="0"/>
          <w:szCs w:val="21"/>
        </w:rPr>
        <w:t>3.17</w:t>
      </w:r>
      <w:r>
        <w:rPr>
          <w:rFonts w:ascii="宋体" w:hAnsi="宋体"/>
          <w:kern w:val="0"/>
          <w:szCs w:val="21"/>
        </w:rPr>
        <w:t xml:space="preserve">节水管理：投标人应协助采购人采用节水器具,新购置用水器具要达到 2级以上水效标准,对不符合节水器具水效标准的,协助采购人有序更换或改造;定期检查供水管网,及时修复漏点,减少水资源浪费;张贴节水宣传海报、标识,协助采购人开展节水宣传活动。       </w:t>
      </w:r>
    </w:p>
    <w:p>
      <w:pPr>
        <w:adjustRightInd w:val="0"/>
        <w:snapToGrid w:val="0"/>
        <w:spacing w:line="400" w:lineRule="exact"/>
        <w:ind w:firstLine="422" w:firstLineChars="200"/>
        <w:jc w:val="left"/>
        <w:textAlignment w:val="baseline"/>
        <w:rPr>
          <w:rFonts w:ascii="宋体" w:hAnsi="宋体"/>
          <w:kern w:val="0"/>
          <w:szCs w:val="21"/>
        </w:rPr>
      </w:pPr>
      <w:r>
        <w:rPr>
          <w:rFonts w:hint="eastAsia" w:ascii="宋体" w:hAnsi="宋体" w:cs="宋体"/>
          <w:b/>
          <w:bCs/>
          <w:kern w:val="0"/>
          <w:szCs w:val="21"/>
        </w:rPr>
        <w:t>3.18</w:t>
      </w:r>
      <w:r>
        <w:rPr>
          <w:rFonts w:ascii="宋体" w:hAnsi="宋体"/>
          <w:kern w:val="0"/>
          <w:szCs w:val="21"/>
        </w:rPr>
        <w:t>生活垃圾分类：投标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widowControl/>
        <w:numPr>
          <w:ilvl w:val="0"/>
          <w:numId w:val="0"/>
        </w:numPr>
        <w:adjustRightInd w:val="0"/>
        <w:snapToGrid w:val="0"/>
        <w:spacing w:line="400" w:lineRule="exact"/>
        <w:ind w:firstLine="422" w:firstLineChars="200"/>
        <w:jc w:val="left"/>
        <w:textAlignment w:val="baseline"/>
        <w:rPr>
          <w:rFonts w:hint="eastAsia" w:ascii="宋体" w:hAnsi="宋体" w:eastAsia="宋体" w:cs="宋体"/>
          <w:b/>
          <w:bCs/>
          <w:kern w:val="0"/>
          <w:szCs w:val="21"/>
        </w:rPr>
      </w:pPr>
      <w:r>
        <w:rPr>
          <w:rFonts w:hint="eastAsia" w:ascii="宋体" w:hAnsi="宋体" w:eastAsia="宋体" w:cs="宋体"/>
          <w:b/>
          <w:bCs/>
          <w:kern w:val="0"/>
          <w:szCs w:val="21"/>
          <w:lang w:val="en-US" w:eastAsia="zh-CN"/>
        </w:rPr>
        <w:t>3.19</w:t>
      </w:r>
      <w:r>
        <w:rPr>
          <w:rFonts w:hint="eastAsia" w:ascii="宋体" w:hAnsi="宋体" w:eastAsia="宋体" w:cs="宋体"/>
          <w:b/>
          <w:bCs/>
          <w:color w:val="000000"/>
          <w:kern w:val="0"/>
          <w:sz w:val="21"/>
          <w:szCs w:val="21"/>
          <w:lang w:bidi="ar"/>
        </w:rPr>
        <w:t>为在项目中充分落实《政府采购法》规定的“政府采购应当有助于实现国家的经济和社会发展政策目标”等相关要求，以项目为载体推动北京市环境社会治理(ESG)体系高质量发展，请</w:t>
      </w:r>
      <w:r>
        <w:rPr>
          <w:rFonts w:hint="eastAsia" w:ascii="宋体" w:hAnsi="宋体" w:eastAsia="宋体" w:cs="宋体"/>
          <w:b/>
          <w:bCs/>
          <w:kern w:val="0"/>
          <w:sz w:val="21"/>
          <w:szCs w:val="21"/>
          <w:lang w:eastAsia="zh-CN" w:bidi="ar"/>
        </w:rPr>
        <w:t>投标人</w:t>
      </w:r>
      <w:r>
        <w:rPr>
          <w:rFonts w:hint="eastAsia" w:ascii="宋体" w:hAnsi="宋体" w:eastAsia="宋体" w:cs="宋体"/>
          <w:b/>
          <w:bCs/>
          <w:color w:val="000000"/>
          <w:kern w:val="0"/>
          <w:sz w:val="21"/>
          <w:szCs w:val="21"/>
          <w:lang w:bidi="ar"/>
        </w:rPr>
        <w:t xml:space="preserve">提供在本项目中落实 ESG 理念的工作措施。 </w:t>
      </w:r>
    </w:p>
    <w:p>
      <w:pPr>
        <w:adjustRightInd w:val="0"/>
        <w:snapToGrid w:val="0"/>
        <w:spacing w:line="360" w:lineRule="auto"/>
        <w:textAlignment w:val="baseline"/>
        <w:rPr>
          <w:rFonts w:ascii="宋体" w:hAnsi="宋体" w:cs="宋体"/>
          <w:b/>
          <w:bCs/>
          <w:kern w:val="0"/>
          <w:szCs w:val="21"/>
        </w:rPr>
      </w:pP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4.采购标的的数量、采购项目或实施的期限和地点</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4.1  1</w:t>
      </w:r>
      <w:r>
        <w:rPr>
          <w:rFonts w:hint="eastAsia" w:ascii="宋体" w:hAnsi="宋体" w:cs="宋体"/>
          <w:kern w:val="0"/>
          <w:szCs w:val="21"/>
        </w:rPr>
        <w:t>项服务；院区物业管理服务项目；</w:t>
      </w:r>
    </w:p>
    <w:p>
      <w:pPr>
        <w:adjustRightInd w:val="0"/>
        <w:snapToGrid w:val="0"/>
        <w:spacing w:line="360" w:lineRule="auto"/>
        <w:textAlignment w:val="baseline"/>
        <w:rPr>
          <w:rFonts w:ascii="宋体" w:hAnsi="宋体" w:cs="宋体"/>
          <w:b/>
          <w:kern w:val="0"/>
          <w:szCs w:val="21"/>
        </w:rPr>
      </w:pPr>
      <w:r>
        <w:rPr>
          <w:rFonts w:hint="eastAsia" w:ascii="宋体" w:hAnsi="宋体" w:cs="宋体"/>
          <w:b/>
          <w:kern w:val="0"/>
          <w:szCs w:val="21"/>
        </w:rPr>
        <w:t>4.2</w:t>
      </w:r>
      <w:r>
        <w:rPr>
          <w:rFonts w:hint="eastAsia" w:ascii="宋体" w:hAnsi="宋体" w:cs="宋体"/>
          <w:bCs/>
          <w:kern w:val="0"/>
          <w:szCs w:val="21"/>
        </w:rPr>
        <w:t>期限：1年</w:t>
      </w:r>
    </w:p>
    <w:p>
      <w:pPr>
        <w:adjustRightInd w:val="0"/>
        <w:snapToGrid w:val="0"/>
        <w:spacing w:line="360" w:lineRule="auto"/>
        <w:textAlignment w:val="baseline"/>
        <w:rPr>
          <w:rFonts w:ascii="宋体" w:hAnsi="宋体" w:cs="宋体"/>
          <w:b/>
          <w:kern w:val="0"/>
          <w:szCs w:val="21"/>
        </w:rPr>
      </w:pPr>
      <w:r>
        <w:rPr>
          <w:rFonts w:hint="eastAsia" w:ascii="宋体" w:hAnsi="宋体" w:cs="宋体"/>
          <w:b/>
          <w:kern w:val="0"/>
          <w:szCs w:val="21"/>
        </w:rPr>
        <w:t>4.3</w:t>
      </w:r>
      <w:r>
        <w:rPr>
          <w:rFonts w:hint="eastAsia" w:ascii="宋体" w:hAnsi="宋体" w:cs="宋体"/>
          <w:bCs/>
          <w:kern w:val="0"/>
          <w:szCs w:val="21"/>
        </w:rPr>
        <w:t>地点：采购人指定地点。</w:t>
      </w:r>
    </w:p>
    <w:p>
      <w:pPr>
        <w:numPr>
          <w:ilvl w:val="0"/>
          <w:numId w:val="2"/>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采购标的需满足的服务标准、期限、效率等要求：</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5.1</w:t>
      </w:r>
      <w:r>
        <w:rPr>
          <w:rFonts w:hint="eastAsia" w:ascii="宋体" w:hAnsi="宋体" w:cs="宋体"/>
          <w:kern w:val="0"/>
          <w:szCs w:val="21"/>
        </w:rPr>
        <w:t>严格遵守有关安全管理规定，制定安全应急预案，配备专职人员，对履行职责内所有安全负总责。</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5.2</w:t>
      </w:r>
      <w:r>
        <w:rPr>
          <w:rFonts w:hint="eastAsia" w:ascii="宋体" w:hAnsi="宋体" w:cs="宋体"/>
          <w:kern w:val="0"/>
          <w:szCs w:val="21"/>
        </w:rPr>
        <w:t>管理服务范围内没有因管理服务不当而发生刑事案件和失窃、火灾、交通等安全事故。</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5.3</w:t>
      </w:r>
      <w:r>
        <w:rPr>
          <w:rFonts w:hint="eastAsia" w:ascii="宋体" w:hAnsi="宋体" w:cs="宋体"/>
          <w:kern w:val="0"/>
          <w:szCs w:val="21"/>
        </w:rPr>
        <w:t>物业管理服务满意率在95%以上；投诉处理率100%。</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5.4</w:t>
      </w:r>
      <w:r>
        <w:rPr>
          <w:rFonts w:hint="eastAsia" w:ascii="宋体" w:hAnsi="宋体" w:cs="宋体"/>
          <w:kern w:val="0"/>
          <w:szCs w:val="21"/>
        </w:rPr>
        <w:t>重要岗位人员年流动率必须控制在20%以内，超过限定的范围，采购人有权扣减一定的物业管理费用。</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5.5</w:t>
      </w:r>
      <w:r>
        <w:rPr>
          <w:rFonts w:hint="eastAsia" w:ascii="宋体" w:hAnsi="宋体" w:cs="宋体"/>
          <w:kern w:val="0"/>
          <w:szCs w:val="21"/>
        </w:rPr>
        <w:t>采购人在中标人没有达到服务要求，或接到对物业管理工作的投诉等情况下，有权扣减中标人一定的物业管理费用。</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5.6</w:t>
      </w:r>
      <w:r>
        <w:rPr>
          <w:rFonts w:hint="eastAsia" w:ascii="宋体" w:hAnsi="宋体" w:cs="宋体"/>
          <w:kern w:val="0"/>
          <w:szCs w:val="21"/>
        </w:rPr>
        <w:t>如因中标人的管理不当而引起的各种事故或纠纷，均应由中标人承担相应的赔偿责任及由此所造成采购人的一切损失。</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5.7</w:t>
      </w:r>
      <w:r>
        <w:rPr>
          <w:rFonts w:hint="eastAsia" w:ascii="宋体" w:hAnsi="宋体" w:cs="宋体"/>
          <w:kern w:val="0"/>
          <w:szCs w:val="21"/>
        </w:rPr>
        <w:t>采购人将不定期对中标人履职情况进行抽查，发现履职不到位的情况及时进行约谈、责令整改，如仍达不到采购人要求或因此给采购人带来名誉或利益上损失的，须承担5000元经济处罚乃至法律责任。</w:t>
      </w:r>
    </w:p>
    <w:p>
      <w:pPr>
        <w:numPr>
          <w:ilvl w:val="0"/>
          <w:numId w:val="2"/>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采购标的的验收标准</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 xml:space="preserve">    </w:t>
      </w:r>
      <w:r>
        <w:rPr>
          <w:rFonts w:hint="eastAsia" w:ascii="宋体" w:hAnsi="宋体" w:cs="宋体"/>
          <w:kern w:val="0"/>
          <w:szCs w:val="21"/>
        </w:rPr>
        <w:t>项目所有工作内容完成以后，由中标人提交验收申请，由采购人组织验收小组，根据项目内容，以采购需求为验收标准，负责对项目进行全面验收，并召开验收会议。</w:t>
      </w:r>
    </w:p>
    <w:p>
      <w:pPr>
        <w:numPr>
          <w:ilvl w:val="0"/>
          <w:numId w:val="2"/>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采购标的的其他技术、服务等要求</w:t>
      </w:r>
      <w:r>
        <w:rPr>
          <w:rFonts w:hint="eastAsia" w:ascii="宋体" w:hAnsi="宋体" w:cs="宋体"/>
          <w:b/>
          <w:bCs/>
          <w:kern w:val="0"/>
          <w:szCs w:val="21"/>
          <w:lang w:val="en"/>
        </w:rPr>
        <w:t>:</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w:t>
      </w:r>
      <w:r>
        <w:rPr>
          <w:rFonts w:hint="eastAsia" w:ascii="宋体" w:hAnsi="宋体" w:cs="宋体"/>
          <w:b/>
          <w:bCs/>
          <w:kern w:val="0"/>
          <w:szCs w:val="21"/>
          <w:lang w:val="en"/>
        </w:rPr>
        <w:t>.1</w:t>
      </w:r>
      <w:r>
        <w:rPr>
          <w:rFonts w:hint="eastAsia" w:ascii="宋体" w:hAnsi="宋体" w:cs="宋体"/>
          <w:kern w:val="0"/>
          <w:szCs w:val="21"/>
        </w:rPr>
        <w:t>本项目要求中标人提供不低于47人，人员资质相关要求如下：</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7.1.1</w:t>
      </w:r>
      <w:r>
        <w:rPr>
          <w:rFonts w:hint="eastAsia" w:ascii="宋体" w:hAnsi="宋体" w:cs="宋体"/>
          <w:kern w:val="0"/>
          <w:szCs w:val="21"/>
        </w:rPr>
        <w:t>中标人项目经理应具有本科（含）以上学历，具有</w:t>
      </w:r>
      <w:r>
        <w:rPr>
          <w:rFonts w:hint="eastAsia" w:ascii="宋体" w:hAnsi="宋体" w:cs="宋体"/>
          <w:kern w:val="0"/>
          <w:szCs w:val="21"/>
          <w:lang w:val="en-US" w:eastAsia="zh-CN"/>
        </w:rPr>
        <w:t>1</w:t>
      </w:r>
      <w:r>
        <w:rPr>
          <w:rFonts w:hint="eastAsia" w:ascii="宋体" w:hAnsi="宋体" w:cs="宋体"/>
          <w:kern w:val="0"/>
          <w:szCs w:val="21"/>
        </w:rPr>
        <w:t>年（含）以上项目经理工作经验；</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7.1.2</w:t>
      </w:r>
      <w:r>
        <w:rPr>
          <w:rFonts w:hint="eastAsia" w:ascii="宋体" w:hAnsi="宋体" w:cs="宋体"/>
          <w:kern w:val="0"/>
          <w:szCs w:val="21"/>
        </w:rPr>
        <w:t>变配电室工作人员应提供特种作业操作证，操作项目为高压电工作业（运行），并具有1年（含）以上变配电室值守经验；</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7.1.3</w:t>
      </w:r>
      <w:r>
        <w:rPr>
          <w:rFonts w:hint="eastAsia" w:ascii="宋体" w:hAnsi="宋体" w:cs="宋体"/>
          <w:kern w:val="0"/>
          <w:szCs w:val="21"/>
        </w:rPr>
        <w:t>维修人员应提供特种作业操作证，操作项目为低压电工作业（运行）</w:t>
      </w:r>
      <w:r>
        <w:rPr>
          <w:rFonts w:hint="eastAsia" w:ascii="宋体" w:hAnsi="宋体" w:cs="宋体"/>
          <w:kern w:val="0"/>
          <w:szCs w:val="21"/>
          <w:lang w:eastAsia="zh-CN"/>
        </w:rPr>
        <w:t>，且具有1年（含）以上</w:t>
      </w:r>
      <w:r>
        <w:rPr>
          <w:rFonts w:hint="eastAsia" w:ascii="宋体" w:hAnsi="宋体" w:cs="宋体"/>
          <w:kern w:val="0"/>
          <w:szCs w:val="21"/>
          <w:lang w:val="en-US" w:eastAsia="zh-CN"/>
        </w:rPr>
        <w:t>维修经验</w:t>
      </w:r>
      <w:r>
        <w:rPr>
          <w:rFonts w:hint="eastAsia" w:ascii="宋体" w:hAnsi="宋体" w:cs="宋体"/>
          <w:kern w:val="0"/>
          <w:szCs w:val="21"/>
        </w:rPr>
        <w:t>；</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7.1.4</w:t>
      </w:r>
      <w:r>
        <w:rPr>
          <w:rFonts w:hint="eastAsia" w:ascii="宋体" w:hAnsi="宋体" w:cs="宋体"/>
          <w:kern w:val="0"/>
          <w:szCs w:val="21"/>
        </w:rPr>
        <w:t>消防监控室工作人员应提供</w:t>
      </w:r>
      <w:r>
        <w:rPr>
          <w:rFonts w:hint="eastAsia" w:ascii="宋体" w:hAnsi="宋体" w:cs="宋体"/>
          <w:szCs w:val="21"/>
        </w:rPr>
        <w:t>中级或以上消防设施操作员证书</w:t>
      </w:r>
      <w:r>
        <w:rPr>
          <w:rFonts w:hint="eastAsia"/>
          <w:lang w:eastAsia="zh-CN"/>
        </w:rPr>
        <w:t>或</w:t>
      </w:r>
      <w:r>
        <w:rPr>
          <w:rFonts w:hint="eastAsia"/>
        </w:rPr>
        <w:t>建（构）筑物消防员证书</w:t>
      </w:r>
      <w:r>
        <w:rPr>
          <w:rFonts w:hint="eastAsia" w:ascii="宋体" w:hAnsi="宋体" w:cs="宋体"/>
          <w:kern w:val="0"/>
          <w:szCs w:val="21"/>
        </w:rPr>
        <w:t>；具有1年（含）以上消防监控室值守经验；</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7.1.5</w:t>
      </w:r>
      <w:r>
        <w:rPr>
          <w:rFonts w:hint="eastAsia" w:ascii="宋体" w:hAnsi="宋体" w:cs="宋体"/>
          <w:kern w:val="0"/>
          <w:szCs w:val="21"/>
        </w:rPr>
        <w:t>锅炉工应提供工业锅炉司炉证，其中至少1人具有锅炉水处理证，并具有1年（含）以上锅炉房值守经验；</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w:t>
      </w:r>
      <w:r>
        <w:rPr>
          <w:rFonts w:hint="eastAsia" w:ascii="宋体" w:hAnsi="宋体" w:cs="宋体"/>
          <w:b/>
          <w:bCs/>
          <w:kern w:val="0"/>
          <w:szCs w:val="21"/>
          <w:lang w:val="en"/>
        </w:rPr>
        <w:t>.2</w:t>
      </w:r>
      <w:r>
        <w:rPr>
          <w:rFonts w:hint="eastAsia" w:ascii="宋体" w:hAnsi="宋体" w:cs="宋体"/>
          <w:kern w:val="0"/>
          <w:szCs w:val="21"/>
        </w:rPr>
        <w:t>中标人接管采购人服务后，必须按照投标文件所述保证团队人员的整体素质及上岗率，年龄要求：男：18-60岁，女：18-55岁</w:t>
      </w:r>
      <w:r>
        <w:rPr>
          <w:rFonts w:hint="eastAsia" w:ascii="宋体" w:hAnsi="宋体" w:cs="宋体"/>
          <w:kern w:val="0"/>
          <w:szCs w:val="21"/>
          <w:lang w:val="en-US" w:eastAsia="zh-CN"/>
        </w:rPr>
        <w:t>(除</w:t>
      </w:r>
      <w:r>
        <w:rPr>
          <w:rFonts w:hint="eastAsia" w:ascii="宋体" w:hAnsi="宋体" w:cs="宋体"/>
          <w:kern w:val="0"/>
          <w:szCs w:val="21"/>
        </w:rPr>
        <w:t>会议室服务人员</w:t>
      </w:r>
      <w:r>
        <w:rPr>
          <w:rFonts w:hint="eastAsia" w:ascii="宋体" w:hAnsi="宋体" w:cs="宋体"/>
          <w:kern w:val="0"/>
          <w:szCs w:val="21"/>
          <w:lang w:eastAsia="zh-CN"/>
        </w:rPr>
        <w:t>外）</w:t>
      </w:r>
      <w:r>
        <w:rPr>
          <w:rFonts w:hint="eastAsia" w:ascii="宋体" w:hAnsi="宋体" w:cs="宋体"/>
          <w:kern w:val="0"/>
          <w:szCs w:val="21"/>
        </w:rPr>
        <w:t>，中标人须加强对本项目工作人员的管理，定期组织工作人员进行业务培训考核，以确保人员始终具备胜任岗位工作的业务素质。不得因各种特殊情况为由，导致人员整体素质下降或服务人员不饱和。</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7.3</w:t>
      </w:r>
      <w:r>
        <w:rPr>
          <w:rFonts w:hint="eastAsia" w:ascii="宋体" w:hAnsi="宋体" w:cs="宋体"/>
          <w:kern w:val="0"/>
          <w:szCs w:val="21"/>
        </w:rPr>
        <w:t>中标人应负责中标人工作人员的工资、奖金、福利、加班费及当地政府要求的各项保险、医药等费用。</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w:t>
      </w:r>
      <w:r>
        <w:rPr>
          <w:rFonts w:hint="eastAsia" w:ascii="宋体" w:hAnsi="宋体" w:cs="宋体"/>
          <w:b/>
          <w:bCs/>
          <w:kern w:val="0"/>
          <w:szCs w:val="21"/>
          <w:lang w:val="en"/>
        </w:rPr>
        <w:t>.</w:t>
      </w:r>
      <w:r>
        <w:rPr>
          <w:rFonts w:hint="eastAsia" w:ascii="宋体" w:hAnsi="宋体" w:cs="宋体"/>
          <w:b/>
          <w:bCs/>
          <w:kern w:val="0"/>
          <w:szCs w:val="21"/>
        </w:rPr>
        <w:t>4</w:t>
      </w:r>
      <w:r>
        <w:rPr>
          <w:rFonts w:hint="eastAsia" w:ascii="宋体" w:hAnsi="宋体" w:cs="宋体"/>
          <w:kern w:val="0"/>
          <w:szCs w:val="21"/>
        </w:rPr>
        <w:t>工作人员上岗前需提供当年度体检证明，无违法犯罪记录；</w:t>
      </w:r>
    </w:p>
    <w:p>
      <w:pPr>
        <w:adjustRightInd w:val="0"/>
        <w:snapToGrid w:val="0"/>
        <w:spacing w:line="360" w:lineRule="auto"/>
        <w:textAlignment w:val="baseline"/>
        <w:rPr>
          <w:rFonts w:hint="eastAsia" w:ascii="宋体" w:hAnsi="宋体" w:eastAsia="宋体" w:cs="宋体"/>
          <w:kern w:val="0"/>
          <w:szCs w:val="21"/>
          <w:lang w:eastAsia="zh-CN"/>
        </w:rPr>
      </w:pPr>
      <w:r>
        <w:rPr>
          <w:rFonts w:hint="eastAsia" w:ascii="宋体" w:hAnsi="宋体" w:cs="宋体"/>
          <w:b/>
          <w:bCs/>
          <w:kern w:val="0"/>
          <w:szCs w:val="21"/>
        </w:rPr>
        <w:t xml:space="preserve">7.5 </w:t>
      </w:r>
      <w:r>
        <w:rPr>
          <w:rFonts w:hint="eastAsia" w:ascii="宋体" w:hAnsi="宋体" w:cs="宋体"/>
          <w:kern w:val="0"/>
          <w:szCs w:val="21"/>
        </w:rPr>
        <w:t>公共会议室服务人员：年龄在35周岁</w:t>
      </w:r>
      <w:r>
        <w:rPr>
          <w:rFonts w:hint="eastAsia"/>
          <w:lang w:eastAsia="zh-CN"/>
        </w:rPr>
        <w:t>（含</w:t>
      </w:r>
      <w:r>
        <w:rPr>
          <w:rFonts w:hint="eastAsia"/>
          <w:lang w:val="en-US" w:eastAsia="zh-CN"/>
        </w:rPr>
        <w:t>35周岁</w:t>
      </w:r>
      <w:r>
        <w:rPr>
          <w:rFonts w:hint="eastAsia"/>
          <w:lang w:eastAsia="zh-CN"/>
        </w:rPr>
        <w:t>）及</w:t>
      </w:r>
      <w:r>
        <w:rPr>
          <w:rFonts w:hint="eastAsia" w:ascii="宋体" w:hAnsi="宋体" w:cs="宋体"/>
          <w:kern w:val="0"/>
          <w:szCs w:val="21"/>
        </w:rPr>
        <w:t>以下，身体健康，政审合格，素质高、形象好，女性，身高165cm及以上</w:t>
      </w:r>
      <w:r>
        <w:rPr>
          <w:rFonts w:hint="eastAsia" w:ascii="宋体" w:hAnsi="宋体" w:cs="宋体"/>
          <w:kern w:val="0"/>
          <w:szCs w:val="21"/>
          <w:lang w:eastAsia="zh-CN"/>
        </w:rPr>
        <w:t>，</w:t>
      </w:r>
      <w:r>
        <w:rPr>
          <w:rFonts w:hint="eastAsia" w:ascii="宋体" w:hAnsi="宋体" w:cs="宋体"/>
          <w:szCs w:val="21"/>
        </w:rPr>
        <w:t>具有1年（含）以上会议服务工作经验</w:t>
      </w:r>
      <w:r>
        <w:rPr>
          <w:rFonts w:hint="eastAsia" w:ascii="宋体" w:hAnsi="宋体" w:cs="宋体"/>
          <w:kern w:val="0"/>
          <w:szCs w:val="21"/>
        </w:rPr>
        <w:t>。</w:t>
      </w:r>
      <w:r>
        <w:rPr>
          <w:rFonts w:hint="eastAsia" w:ascii="宋体" w:hAnsi="宋体"/>
          <w:szCs w:val="21"/>
        </w:rPr>
        <w:t>前台人员</w:t>
      </w:r>
      <w:r>
        <w:rPr>
          <w:rStyle w:val="5"/>
          <w:rFonts w:hint="eastAsia"/>
          <w:lang w:eastAsia="zh-CN"/>
        </w:rPr>
        <w:t>：</w:t>
      </w:r>
      <w:r>
        <w:rPr>
          <w:rFonts w:hint="eastAsia" w:ascii="宋体" w:hAnsi="宋体" w:cs="宋体"/>
          <w:szCs w:val="21"/>
        </w:rPr>
        <w:t>具有1年（含）以上前台工作经验</w:t>
      </w:r>
      <w:r>
        <w:rPr>
          <w:rFonts w:hint="eastAsia" w:ascii="宋体" w:hAnsi="宋体" w:cs="宋体"/>
          <w:szCs w:val="21"/>
          <w:lang w:eastAsia="zh-CN"/>
        </w:rPr>
        <w:t>。</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7.6</w:t>
      </w:r>
      <w:r>
        <w:rPr>
          <w:rFonts w:hint="eastAsia" w:ascii="宋体" w:hAnsi="宋体" w:cs="宋体"/>
          <w:kern w:val="0"/>
          <w:szCs w:val="21"/>
          <w:lang w:val="en"/>
        </w:rPr>
        <w:t xml:space="preserve"> </w:t>
      </w:r>
      <w:r>
        <w:rPr>
          <w:rFonts w:hint="eastAsia" w:ascii="宋体" w:hAnsi="宋体" w:cs="宋体"/>
          <w:kern w:val="0"/>
          <w:szCs w:val="21"/>
        </w:rPr>
        <w:t>中标人必须严格按照需求文件及合同履职尽责，如因工作失职，导致在外部职能机构检查时，给采购人带来名誉或利益上的损失，或其工作人员在履行职责中产生差错、事故等所造成的责任与损失均由中标人承担。</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 xml:space="preserve">7.7 </w:t>
      </w:r>
      <w:r>
        <w:rPr>
          <w:rFonts w:hint="eastAsia" w:ascii="宋体" w:hAnsi="宋体" w:cs="宋体"/>
          <w:kern w:val="0"/>
          <w:szCs w:val="21"/>
        </w:rPr>
        <w:t>中标人的值班人员应严格按照服务标准、工作流程、岗位职责开展工作；如在值班期间，出现脱岗、漏岗、睡觉、喝酒、会客、玩手机等影响正常工作的行为，每发现一次扣款200元，并在当月采购人支付的物业服务费中直接扣除。</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7.8</w:t>
      </w:r>
      <w:r>
        <w:rPr>
          <w:rFonts w:hint="eastAsia" w:ascii="宋体" w:hAnsi="宋体" w:cs="宋体"/>
          <w:kern w:val="0"/>
          <w:szCs w:val="21"/>
          <w:lang w:val="en"/>
        </w:rPr>
        <w:t xml:space="preserve"> </w:t>
      </w:r>
      <w:r>
        <w:rPr>
          <w:rFonts w:hint="eastAsia" w:ascii="宋体" w:hAnsi="宋体" w:cs="宋体"/>
          <w:kern w:val="0"/>
          <w:szCs w:val="21"/>
        </w:rPr>
        <w:t>中标人于合同生效之日起三日内，提供服务人员名单，名单中至少应包括姓名、身份证号和联系方式等信息。</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 xml:space="preserve">7.9 </w:t>
      </w:r>
      <w:r>
        <w:rPr>
          <w:rFonts w:hint="eastAsia" w:ascii="宋体" w:hAnsi="宋体" w:cs="宋体"/>
          <w:kern w:val="0"/>
          <w:szCs w:val="21"/>
        </w:rPr>
        <w:t>中标人如需更换本项目服务人员，需向采购人提交人员变更申请，并提供拟上岗人员的相关证书、工作经验、年度体检证明，无违法犯罪记录等文件，经采购人同意后，方可更换人员。</w:t>
      </w:r>
    </w:p>
    <w:p>
      <w:pPr>
        <w:adjustRightInd w:val="0"/>
        <w:snapToGrid w:val="0"/>
        <w:spacing w:line="360" w:lineRule="auto"/>
        <w:textAlignment w:val="baseline"/>
        <w:rPr>
          <w:rFonts w:ascii="宋体" w:hAnsi="宋体" w:cs="宋体"/>
          <w:kern w:val="0"/>
          <w:szCs w:val="21"/>
        </w:rPr>
      </w:pPr>
      <w:r>
        <w:rPr>
          <w:rFonts w:hint="eastAsia" w:ascii="宋体" w:hAnsi="宋体" w:cs="宋体"/>
          <w:b/>
          <w:bCs/>
          <w:kern w:val="0"/>
          <w:szCs w:val="21"/>
        </w:rPr>
        <w:t>7.10</w:t>
      </w:r>
      <w:r>
        <w:rPr>
          <w:rFonts w:hint="eastAsia" w:ascii="宋体" w:hAnsi="宋体" w:cs="宋体"/>
          <w:kern w:val="0"/>
          <w:szCs w:val="21"/>
        </w:rPr>
        <w:t xml:space="preserve"> 中标人的工作人员如因包括但不限于工伤、休假等各类原因造成人员缺岗的，中标人需及时补充人员，如因上述原因引起连续缺岗3天以上，每人每天扣200元，并在当月采购人支付的物业服务费中直接扣除。</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7.11物业各岗位人数情况详见下表。</w:t>
      </w:r>
    </w:p>
    <w:p>
      <w:pPr>
        <w:adjustRightInd w:val="0"/>
        <w:snapToGrid w:val="0"/>
        <w:spacing w:line="360" w:lineRule="auto"/>
        <w:textAlignment w:val="baseline"/>
        <w:rPr>
          <w:rFonts w:ascii="宋体" w:hAnsi="宋体" w:cs="宋体"/>
          <w:b/>
          <w:bCs/>
          <w:kern w:val="0"/>
          <w:szCs w:val="21"/>
        </w:rPr>
      </w:pPr>
      <w:r>
        <w:rPr>
          <w:rFonts w:hint="eastAsia" w:ascii="宋体" w:hAnsi="宋体" w:cs="宋体"/>
          <w:b/>
          <w:bCs/>
          <w:kern w:val="0"/>
          <w:szCs w:val="21"/>
        </w:rPr>
        <w:t>物业各岗位人数统计表</w:t>
      </w:r>
    </w:p>
    <w:tbl>
      <w:tblPr>
        <w:tblStyle w:val="3"/>
        <w:tblW w:w="686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
        <w:gridCol w:w="4538"/>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blHeader/>
          <w:jc w:val="center"/>
        </w:trPr>
        <w:tc>
          <w:tcPr>
            <w:tcW w:w="896"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序号</w:t>
            </w:r>
          </w:p>
        </w:tc>
        <w:tc>
          <w:tcPr>
            <w:tcW w:w="4538"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岗</w:t>
            </w:r>
            <w:r>
              <w:rPr>
                <w:rFonts w:hint="eastAsia" w:ascii="宋体" w:hAnsi="宋体" w:cs="宋体"/>
                <w:kern w:val="0"/>
                <w:szCs w:val="21"/>
                <w:lang w:val="en"/>
              </w:rPr>
              <w:t xml:space="preserve">    </w:t>
            </w:r>
            <w:r>
              <w:rPr>
                <w:rFonts w:hint="eastAsia" w:ascii="宋体" w:hAnsi="宋体" w:cs="宋体"/>
                <w:kern w:val="0"/>
                <w:szCs w:val="21"/>
              </w:rPr>
              <w:t>位</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项目经理</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2</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会务</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3</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变配电室（24小时值守）</w:t>
            </w:r>
          </w:p>
        </w:tc>
        <w:tc>
          <w:tcPr>
            <w:tcW w:w="1433"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4</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维修工</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5</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保洁人员（含实验器具洗刷服务）</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6</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消防监控室（24小时值守）</w:t>
            </w:r>
          </w:p>
        </w:tc>
        <w:tc>
          <w:tcPr>
            <w:tcW w:w="1433"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7</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前台服务</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8</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绿化服务</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896"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9</w:t>
            </w:r>
          </w:p>
        </w:tc>
        <w:tc>
          <w:tcPr>
            <w:tcW w:w="4538" w:type="dxa"/>
            <w:noWrap w:val="0"/>
            <w:vAlign w:val="center"/>
          </w:tcPr>
          <w:p>
            <w:pPr>
              <w:adjustRightInd w:val="0"/>
              <w:snapToGrid w:val="0"/>
              <w:textAlignment w:val="baseline"/>
              <w:rPr>
                <w:rFonts w:ascii="宋体" w:hAnsi="宋体" w:cs="宋体"/>
                <w:kern w:val="0"/>
                <w:szCs w:val="21"/>
              </w:rPr>
            </w:pPr>
            <w:r>
              <w:rPr>
                <w:rFonts w:hint="eastAsia" w:ascii="宋体" w:hAnsi="宋体" w:cs="宋体"/>
                <w:kern w:val="0"/>
                <w:szCs w:val="21"/>
              </w:rPr>
              <w:t>锅炉房（</w:t>
            </w:r>
            <w:r>
              <w:rPr>
                <w:rFonts w:hint="eastAsia" w:ascii="宋体" w:hAnsi="宋体"/>
                <w:kern w:val="0"/>
                <w:szCs w:val="21"/>
              </w:rPr>
              <w:t>供暖季：自合同签订之日起，至</w:t>
            </w:r>
            <w:r>
              <w:rPr>
                <w:rFonts w:ascii="宋体" w:hAnsi="宋体"/>
                <w:kern w:val="0"/>
                <w:szCs w:val="21"/>
              </w:rPr>
              <w:t>3</w:t>
            </w:r>
            <w:r>
              <w:rPr>
                <w:rFonts w:hint="eastAsia" w:ascii="宋体" w:hAnsi="宋体"/>
                <w:kern w:val="0"/>
                <w:szCs w:val="21"/>
              </w:rPr>
              <w:t>月</w:t>
            </w:r>
            <w:r>
              <w:rPr>
                <w:rFonts w:ascii="宋体" w:hAnsi="宋体"/>
                <w:kern w:val="0"/>
                <w:szCs w:val="21"/>
              </w:rPr>
              <w:t>31</w:t>
            </w:r>
            <w:r>
              <w:rPr>
                <w:rFonts w:hint="eastAsia" w:ascii="宋体" w:hAnsi="宋体"/>
                <w:kern w:val="0"/>
                <w:szCs w:val="21"/>
              </w:rPr>
              <w:t>日；</w:t>
            </w:r>
            <w:r>
              <w:rPr>
                <w:rFonts w:ascii="宋体" w:hAnsi="宋体"/>
                <w:kern w:val="0"/>
                <w:szCs w:val="21"/>
              </w:rPr>
              <w:t>11月1日</w:t>
            </w:r>
            <w:r>
              <w:rPr>
                <w:rFonts w:hint="eastAsia" w:ascii="宋体" w:hAnsi="宋体"/>
                <w:kern w:val="0"/>
                <w:szCs w:val="21"/>
              </w:rPr>
              <w:t>起，至合同结束之日。</w:t>
            </w:r>
            <w:r>
              <w:rPr>
                <w:rFonts w:ascii="宋体" w:hAnsi="宋体"/>
                <w:kern w:val="0"/>
                <w:szCs w:val="21"/>
              </w:rPr>
              <w:t>24小时值守</w:t>
            </w:r>
            <w:r>
              <w:rPr>
                <w:rFonts w:hint="eastAsia" w:ascii="宋体" w:hAnsi="宋体" w:cs="宋体"/>
                <w:kern w:val="0"/>
                <w:szCs w:val="21"/>
              </w:rPr>
              <w:t>）</w:t>
            </w:r>
          </w:p>
        </w:tc>
        <w:tc>
          <w:tcPr>
            <w:tcW w:w="1433" w:type="dxa"/>
            <w:noWrap w:val="0"/>
            <w:vAlign w:val="center"/>
          </w:tcPr>
          <w:p>
            <w:pPr>
              <w:adjustRightInd w:val="0"/>
              <w:snapToGrid w:val="0"/>
              <w:jc w:val="center"/>
              <w:textAlignment w:val="baseline"/>
              <w:rPr>
                <w:rFonts w:hint="eastAsia" w:ascii="宋体" w:hAnsi="宋体" w:cs="宋体"/>
                <w:kern w:val="0"/>
                <w:szCs w:val="21"/>
              </w:rPr>
            </w:pPr>
            <w:r>
              <w:rPr>
                <w:rFonts w:hint="eastAsia" w:ascii="宋体" w:hAnsi="宋体" w:cs="宋体"/>
                <w:kern w:val="0"/>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 w:hRule="atLeast"/>
          <w:jc w:val="center"/>
        </w:trPr>
        <w:tc>
          <w:tcPr>
            <w:tcW w:w="5434" w:type="dxa"/>
            <w:gridSpan w:val="2"/>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合   计</w:t>
            </w:r>
          </w:p>
        </w:tc>
        <w:tc>
          <w:tcPr>
            <w:tcW w:w="1433" w:type="dxa"/>
            <w:noWrap w:val="0"/>
            <w:vAlign w:val="center"/>
          </w:tcPr>
          <w:p>
            <w:pPr>
              <w:adjustRightInd w:val="0"/>
              <w:snapToGrid w:val="0"/>
              <w:jc w:val="center"/>
              <w:textAlignment w:val="baseline"/>
              <w:rPr>
                <w:rFonts w:ascii="宋体" w:hAnsi="宋体" w:cs="宋体"/>
                <w:kern w:val="0"/>
                <w:szCs w:val="21"/>
              </w:rPr>
            </w:pPr>
            <w:r>
              <w:rPr>
                <w:rFonts w:hint="eastAsia" w:ascii="宋体" w:hAnsi="宋体" w:cs="宋体"/>
                <w:kern w:val="0"/>
                <w:szCs w:val="21"/>
              </w:rPr>
              <w:t>47</w:t>
            </w:r>
          </w:p>
        </w:tc>
      </w:tr>
    </w:tbl>
    <w:p>
      <w:pPr>
        <w:adjustRightInd w:val="0"/>
        <w:snapToGrid w:val="0"/>
        <w:spacing w:line="360" w:lineRule="auto"/>
        <w:textAlignment w:val="baseline"/>
        <w:rPr>
          <w:rFonts w:ascii="宋体" w:hAnsi="宋体" w:cs="宋体"/>
          <w:kern w:val="0"/>
          <w:szCs w:val="21"/>
        </w:rPr>
      </w:pPr>
    </w:p>
    <w:p>
      <w:pPr>
        <w:numPr>
          <w:ilvl w:val="0"/>
          <w:numId w:val="3"/>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售后服务及培训要求</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具体要求见“三、项目服务要求”。</w:t>
      </w:r>
    </w:p>
    <w:p>
      <w:pPr>
        <w:numPr>
          <w:ilvl w:val="0"/>
          <w:numId w:val="3"/>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交货时间及地点</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北京市通州区光机电产业基地兴光二街7号，服务期限：1年。</w:t>
      </w:r>
    </w:p>
    <w:p>
      <w:pPr>
        <w:numPr>
          <w:ilvl w:val="0"/>
          <w:numId w:val="3"/>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验收服务要求</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1.中标人须为验收提供必需的一切条件、清单、资料及相关费用。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2.验收组织：项目所有工作内容完成以后，由中标人提交验收申请，由采购人组织验收小组，负责对项目进行全面验收，并召开验收会议。</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3.采购人将根据项目内容，以采购需求作为验收标准。</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4.由中标人牵头，每周在规定时间内组织联合巡查，包括物业维修、保洁、消防监控室值守人员。</w:t>
      </w:r>
    </w:p>
    <w:p>
      <w:pPr>
        <w:numPr>
          <w:ilvl w:val="0"/>
          <w:numId w:val="3"/>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付款方式</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物业服务费实行后付制，按每月分期支付。每月的5日前乙方就上月项目管理费用进行核算，交由采购人进行审核；甲方于15日前向财务部门办理请款手续，支付时间为当月20日前，支付金额以财务部门审核为准。</w:t>
      </w:r>
      <w:r>
        <w:rPr>
          <w:rFonts w:hint="eastAsia" w:ascii="宋体" w:hAnsi="宋体" w:cs="宋体"/>
          <w:kern w:val="0"/>
          <w:szCs w:val="21"/>
          <w:lang w:eastAsia="zh-CN"/>
        </w:rPr>
        <w:t>另：为配合财务支付结算规定，</w:t>
      </w:r>
      <w:r>
        <w:rPr>
          <w:rFonts w:hint="eastAsia" w:ascii="宋体" w:hAnsi="宋体" w:cs="宋体"/>
          <w:kern w:val="0"/>
          <w:szCs w:val="21"/>
        </w:rPr>
        <w:t>2026年12月份</w:t>
      </w:r>
      <w:r>
        <w:rPr>
          <w:rFonts w:hint="eastAsia" w:ascii="宋体" w:hAnsi="宋体" w:cs="宋体"/>
          <w:kern w:val="0"/>
          <w:szCs w:val="21"/>
          <w:lang w:eastAsia="zh-CN"/>
        </w:rPr>
        <w:t>的物业服务费</w:t>
      </w:r>
      <w:r>
        <w:rPr>
          <w:rFonts w:hint="eastAsia" w:ascii="宋体" w:hAnsi="宋体" w:cs="宋体"/>
          <w:kern w:val="0"/>
          <w:szCs w:val="21"/>
        </w:rPr>
        <w:t>，中标人</w:t>
      </w:r>
      <w:r>
        <w:rPr>
          <w:rFonts w:hint="eastAsia" w:ascii="宋体" w:hAnsi="宋体" w:cs="宋体"/>
          <w:kern w:val="0"/>
          <w:szCs w:val="21"/>
          <w:lang w:eastAsia="zh-CN"/>
        </w:rPr>
        <w:t>需</w:t>
      </w:r>
      <w:r>
        <w:rPr>
          <w:rFonts w:hint="eastAsia" w:ascii="宋体" w:hAnsi="宋体" w:cs="宋体"/>
          <w:kern w:val="0"/>
          <w:szCs w:val="21"/>
        </w:rPr>
        <w:t>在当月15日前提供结算发票。</w:t>
      </w:r>
    </w:p>
    <w:p>
      <w:pPr>
        <w:numPr>
          <w:ilvl w:val="0"/>
          <w:numId w:val="3"/>
        </w:numPr>
        <w:adjustRightInd w:val="0"/>
        <w:snapToGrid w:val="0"/>
        <w:spacing w:line="360" w:lineRule="auto"/>
        <w:jc w:val="left"/>
        <w:textAlignment w:val="baseline"/>
        <w:rPr>
          <w:rFonts w:ascii="宋体" w:hAnsi="宋体" w:cs="宋体"/>
          <w:b/>
          <w:bCs/>
          <w:kern w:val="0"/>
          <w:szCs w:val="21"/>
        </w:rPr>
      </w:pPr>
      <w:r>
        <w:rPr>
          <w:rFonts w:hint="eastAsia" w:ascii="宋体" w:hAnsi="宋体" w:cs="宋体"/>
          <w:b/>
          <w:bCs/>
          <w:kern w:val="0"/>
          <w:szCs w:val="21"/>
        </w:rPr>
        <w:t>其他相关要求</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1.采购人有权要求更换物业经理和其他物业人员。采购人提出更换人员要求后，中标人应在3日内，完成人员更换。</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2.采购人为中标人提供物业办公室1间、值班室1间，中标人不得挪为他用。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3.采购人免费提供中标人在班值守人员（变配电室、消防监控室、锅炉房）的日常餐饮。中标人的</w:t>
      </w:r>
      <w:r>
        <w:rPr>
          <w:rFonts w:hint="eastAsia" w:ascii="宋体" w:hAnsi="宋体"/>
          <w:kern w:val="0"/>
          <w:szCs w:val="21"/>
        </w:rPr>
        <w:t>其他物业人员（本项目登记在册人员）就餐费用，按</w:t>
      </w:r>
      <w:r>
        <w:rPr>
          <w:rFonts w:hint="eastAsia" w:ascii="宋体" w:hAnsi="宋体"/>
          <w:kern w:val="0"/>
          <w:szCs w:val="21"/>
          <w:lang w:val="en-US" w:eastAsia="zh-CN"/>
        </w:rPr>
        <w:t>6578</w:t>
      </w:r>
      <w:r>
        <w:rPr>
          <w:rFonts w:hint="eastAsia" w:ascii="宋体" w:hAnsi="宋体"/>
          <w:kern w:val="0"/>
          <w:szCs w:val="21"/>
        </w:rPr>
        <w:t>元/月（</w:t>
      </w:r>
      <w:r>
        <w:rPr>
          <w:rFonts w:hint="eastAsia" w:ascii="宋体" w:hAnsi="宋体"/>
          <w:kern w:val="0"/>
          <w:szCs w:val="21"/>
          <w:lang w:val="en-US" w:eastAsia="zh-CN"/>
        </w:rPr>
        <w:t>13</w:t>
      </w:r>
      <w:r>
        <w:rPr>
          <w:rFonts w:hint="eastAsia" w:ascii="宋体" w:hAnsi="宋体"/>
          <w:kern w:val="0"/>
          <w:szCs w:val="21"/>
        </w:rPr>
        <w:t>元/人/日）收取，该费用中标人应在每月5号前向采购人支付当月餐费，此费用采购人不提供发票。</w:t>
      </w:r>
      <w:r>
        <w:rPr>
          <w:rFonts w:hint="eastAsia" w:ascii="宋体" w:hAnsi="宋体" w:cs="宋体"/>
          <w:kern w:val="0"/>
          <w:szCs w:val="21"/>
        </w:rPr>
        <w:t>如食堂因特殊情况停止营业，所有物业人员餐饮由中标人自行负责，就餐费用自行承担。</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4.中标人在每月的1号前后，向采购人提供上月的人员考勤表，以及下月的人员值班表。</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5.本项目服务人员必须严格遵守采购人内部安全管理制度，不得带领无关人员进入物业项目区域，严禁留宿他人，严禁酗酒滋事。</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6.中标人负责保管采购人提供的相关资料和设备，不得遗失，不得人为损坏。</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7.各类能源费用由采购人承担。</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8.院区绿化修剪后的树枝、清扫的落叶、割草机割的碎草等清运费用由中标人承担。</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9.物业人员日常使用的易耗物品：手套、拖把、农药、草坪喷头、修剪工具、喷雾器、化肥、鸡粪、灭苍蝇药、粘鼠板、推草机用的汽油、绿化草籽，由中标人承担。</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10.中标人需配合采购人与本项目施工单位开展办公区及各项设备设施的承接和查验工作。</w:t>
      </w:r>
    </w:p>
    <w:p>
      <w:pPr>
        <w:adjustRightInd w:val="0"/>
        <w:snapToGrid w:val="0"/>
        <w:spacing w:line="360" w:lineRule="auto"/>
        <w:textAlignment w:val="baseline"/>
        <w:rPr>
          <w:rFonts w:ascii="宋体" w:hAnsi="宋体" w:cs="宋体"/>
          <w:kern w:val="0"/>
          <w:szCs w:val="21"/>
        </w:rPr>
      </w:pPr>
      <w:r>
        <w:rPr>
          <w:rFonts w:hint="eastAsia" w:ascii="宋体" w:hAnsi="宋体" w:cs="宋体"/>
          <w:kern w:val="0"/>
          <w:szCs w:val="21"/>
        </w:rPr>
        <w:t>11.在应急情况下，中标人需配合采购人做好应急处置工作。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0E17D8"/>
    <w:multiLevelType w:val="singleLevel"/>
    <w:tmpl w:val="DA0E17D8"/>
    <w:lvl w:ilvl="0" w:tentative="0">
      <w:start w:val="4"/>
      <w:numFmt w:val="chineseCounting"/>
      <w:suff w:val="nothing"/>
      <w:lvlText w:val="%1、"/>
      <w:lvlJc w:val="left"/>
      <w:rPr>
        <w:rFonts w:hint="eastAsia"/>
      </w:rPr>
    </w:lvl>
  </w:abstractNum>
  <w:abstractNum w:abstractNumId="1">
    <w:nsid w:val="EA270869"/>
    <w:multiLevelType w:val="multilevel"/>
    <w:tmpl w:val="EA270869"/>
    <w:lvl w:ilvl="0" w:tentative="0">
      <w:start w:val="2"/>
      <w:numFmt w:val="decimal"/>
      <w:suff w:val="space"/>
      <w:lvlText w:val="%1."/>
      <w:lvlJc w:val="left"/>
    </w:lvl>
    <w:lvl w:ilvl="1" w:tentative="0">
      <w:start w:val="3"/>
      <w:numFmt w:val="decimal"/>
      <w:lvlText w:val="%1.%2"/>
      <w:lvlJc w:val="left"/>
      <w:pPr>
        <w:ind w:left="1082" w:hanging="600"/>
      </w:pPr>
      <w:rPr>
        <w:b/>
      </w:rPr>
    </w:lvl>
    <w:lvl w:ilvl="2" w:tentative="0">
      <w:start w:val="1"/>
      <w:numFmt w:val="decimal"/>
      <w:lvlText w:val="%1.%2.%3"/>
      <w:lvlJc w:val="left"/>
      <w:pPr>
        <w:ind w:left="1684" w:hanging="720"/>
      </w:pPr>
      <w:rPr>
        <w:b/>
      </w:rPr>
    </w:lvl>
    <w:lvl w:ilvl="3" w:tentative="0">
      <w:start w:val="1"/>
      <w:numFmt w:val="decimal"/>
      <w:lvlText w:val="%1.%2.%3.%4"/>
      <w:lvlJc w:val="left"/>
      <w:pPr>
        <w:ind w:left="2526" w:hanging="1080"/>
      </w:pPr>
      <w:rPr>
        <w:b/>
      </w:rPr>
    </w:lvl>
    <w:lvl w:ilvl="4" w:tentative="0">
      <w:start w:val="1"/>
      <w:numFmt w:val="decimal"/>
      <w:lvlText w:val="%1.%2.%3.%4.%5"/>
      <w:lvlJc w:val="left"/>
      <w:pPr>
        <w:ind w:left="3008" w:hanging="1080"/>
      </w:pPr>
      <w:rPr>
        <w:b/>
      </w:rPr>
    </w:lvl>
    <w:lvl w:ilvl="5" w:tentative="0">
      <w:start w:val="1"/>
      <w:numFmt w:val="decimal"/>
      <w:lvlText w:val="%1.%2.%3.%4.%5.%6"/>
      <w:lvlJc w:val="left"/>
      <w:pPr>
        <w:ind w:left="3850" w:hanging="1440"/>
      </w:pPr>
      <w:rPr>
        <w:b/>
      </w:rPr>
    </w:lvl>
    <w:lvl w:ilvl="6" w:tentative="0">
      <w:start w:val="1"/>
      <w:numFmt w:val="decimal"/>
      <w:lvlText w:val="%1.%2.%3.%4.%5.%6.%7"/>
      <w:lvlJc w:val="left"/>
      <w:pPr>
        <w:ind w:left="4692" w:hanging="1800"/>
      </w:pPr>
      <w:rPr>
        <w:b/>
      </w:rPr>
    </w:lvl>
    <w:lvl w:ilvl="7" w:tentative="0">
      <w:start w:val="1"/>
      <w:numFmt w:val="decimal"/>
      <w:lvlText w:val="%1.%2.%3.%4.%5.%6.%7.%8"/>
      <w:lvlJc w:val="left"/>
      <w:pPr>
        <w:ind w:left="5174" w:hanging="1800"/>
      </w:pPr>
      <w:rPr>
        <w:b/>
      </w:rPr>
    </w:lvl>
    <w:lvl w:ilvl="8" w:tentative="0">
      <w:start w:val="1"/>
      <w:numFmt w:val="decimal"/>
      <w:lvlText w:val="%1.%2.%3.%4.%5.%6.%7.%8.%9"/>
      <w:lvlJc w:val="left"/>
      <w:pPr>
        <w:ind w:left="6016" w:hanging="2160"/>
      </w:pPr>
      <w:rPr>
        <w:b/>
      </w:rPr>
    </w:lvl>
  </w:abstractNum>
  <w:abstractNum w:abstractNumId="2">
    <w:nsid w:val="FDDF767F"/>
    <w:multiLevelType w:val="singleLevel"/>
    <w:tmpl w:val="FDDF767F"/>
    <w:lvl w:ilvl="0" w:tentative="0">
      <w:start w:val="5"/>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E1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annotation reference"/>
    <w:qFormat/>
    <w:uiPriority w:val="99"/>
    <w:rPr>
      <w:sz w:val="21"/>
      <w:szCs w:val="21"/>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2025-12-22T04:00:54Z</dcterms:created>
  <dc:creator>user</dc:creator>
  <cp:lastModifiedBy>11</cp:lastModifiedBy>
  <dcterms:modified xsi:type="dcterms:W3CDTF">2025-12-22T04:05:33Z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